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EBF61" w14:textId="77777777" w:rsidR="00A51DCC" w:rsidRPr="00A51DCC" w:rsidRDefault="00A51DCC" w:rsidP="004C17E1">
      <w:pPr>
        <w:spacing w:line="360" w:lineRule="auto"/>
        <w:contextualSpacing/>
        <w:jc w:val="center"/>
        <w:rPr>
          <w:rFonts w:ascii="Trebuchet MS" w:hAnsi="Trebuchet MS"/>
          <w:smallCaps/>
          <w:spacing w:val="20"/>
          <w:sz w:val="114"/>
          <w:szCs w:val="96"/>
        </w:rPr>
      </w:pPr>
      <w:r w:rsidRPr="00A51DCC">
        <w:rPr>
          <w:rFonts w:ascii="Trebuchet MS" w:hAnsi="Trebuchet MS"/>
          <w:smallCaps/>
          <w:spacing w:val="20"/>
          <w:sz w:val="114"/>
          <w:szCs w:val="96"/>
        </w:rPr>
        <w:t xml:space="preserve">Election Dispute Resolution </w:t>
      </w:r>
    </w:p>
    <w:p w14:paraId="10C844BF" w14:textId="44B0EC84" w:rsidR="00A51DCC" w:rsidRPr="00A51DCC" w:rsidRDefault="00A51DCC" w:rsidP="00D615A2">
      <w:pPr>
        <w:spacing w:line="360" w:lineRule="auto"/>
        <w:contextualSpacing/>
        <w:jc w:val="center"/>
        <w:rPr>
          <w:rFonts w:ascii="Trebuchet MS" w:hAnsi="Trebuchet MS"/>
          <w:smallCaps/>
          <w:spacing w:val="20"/>
          <w:sz w:val="114"/>
          <w:szCs w:val="96"/>
        </w:rPr>
      </w:pPr>
      <w:r w:rsidRPr="00A51DCC">
        <w:rPr>
          <w:rFonts w:ascii="Trebuchet MS" w:hAnsi="Trebuchet MS"/>
          <w:smallCaps/>
          <w:spacing w:val="20"/>
          <w:sz w:val="114"/>
          <w:szCs w:val="96"/>
        </w:rPr>
        <w:t>and the</w:t>
      </w:r>
      <w:r w:rsidR="00FA6725">
        <w:rPr>
          <w:rFonts w:ascii="Trebuchet MS" w:hAnsi="Trebuchet MS"/>
          <w:smallCaps/>
          <w:spacing w:val="20"/>
          <w:sz w:val="114"/>
          <w:szCs w:val="96"/>
        </w:rPr>
        <w:t xml:space="preserve"> Question of Justice in Nigeria</w:t>
      </w:r>
    </w:p>
    <w:p w14:paraId="4C79D8CB" w14:textId="77777777" w:rsidR="00A51DCC" w:rsidRPr="00A51DCC" w:rsidRDefault="00A51DCC" w:rsidP="00D615A2">
      <w:pPr>
        <w:spacing w:line="360" w:lineRule="auto"/>
        <w:contextualSpacing/>
        <w:jc w:val="center"/>
        <w:rPr>
          <w:rFonts w:ascii="Trebuchet MS" w:hAnsi="Trebuchet MS"/>
          <w:smallCaps/>
          <w:spacing w:val="20"/>
          <w:sz w:val="114"/>
          <w:szCs w:val="96"/>
        </w:rPr>
        <w:sectPr w:rsidR="00A51DCC" w:rsidRPr="00A51DCC" w:rsidSect="00146479">
          <w:footerReference w:type="even" r:id="rId8"/>
          <w:footerReference w:type="default" r:id="rId9"/>
          <w:pgSz w:w="11900" w:h="16840"/>
          <w:pgMar w:top="1440" w:right="1800" w:bottom="1440" w:left="1800" w:header="708" w:footer="708" w:gutter="0"/>
          <w:cols w:space="708"/>
          <w:docGrid w:linePitch="360"/>
        </w:sectPr>
      </w:pPr>
    </w:p>
    <w:p w14:paraId="7ADBF29A" w14:textId="7A4CA173" w:rsidR="00A51DCC" w:rsidRDefault="00F75C93" w:rsidP="00FB477C">
      <w:pPr>
        <w:spacing w:line="480" w:lineRule="auto"/>
        <w:contextualSpacing/>
        <w:jc w:val="center"/>
        <w:rPr>
          <w:rFonts w:ascii="Trebuchet MS" w:hAnsi="Trebuchet MS"/>
          <w:smallCaps/>
          <w:spacing w:val="20"/>
        </w:rPr>
      </w:pPr>
      <w:r>
        <w:rPr>
          <w:rFonts w:ascii="Trebuchet MS" w:hAnsi="Trebuchet MS"/>
          <w:smallCaps/>
          <w:spacing w:val="20"/>
        </w:rPr>
        <w:lastRenderedPageBreak/>
        <w:t>Key Words</w:t>
      </w:r>
    </w:p>
    <w:p w14:paraId="4D39E1F0" w14:textId="447AC3C2" w:rsidR="00F75C93" w:rsidRPr="00A95869" w:rsidRDefault="00F75C93" w:rsidP="00A95869">
      <w:pPr>
        <w:spacing w:line="480" w:lineRule="auto"/>
        <w:contextualSpacing/>
        <w:rPr>
          <w:rFonts w:ascii="Trebuchet MS" w:hAnsi="Trebuchet MS"/>
          <w:spacing w:val="20"/>
        </w:rPr>
      </w:pPr>
      <w:r w:rsidRPr="00F75C93">
        <w:rPr>
          <w:rFonts w:ascii="Trebuchet MS" w:hAnsi="Trebuchet MS"/>
          <w:spacing w:val="20"/>
        </w:rPr>
        <w:t xml:space="preserve">The </w:t>
      </w:r>
      <w:r>
        <w:rPr>
          <w:rFonts w:ascii="Trebuchet MS" w:hAnsi="Trebuchet MS"/>
          <w:spacing w:val="20"/>
        </w:rPr>
        <w:t>key words in this paper are as follows:</w:t>
      </w:r>
    </w:p>
    <w:p w14:paraId="409DA5A1" w14:textId="15626FDA" w:rsidR="00F75C93" w:rsidRDefault="00F75C93" w:rsidP="00A95869">
      <w:pPr>
        <w:spacing w:line="480" w:lineRule="auto"/>
        <w:contextualSpacing/>
        <w:rPr>
          <w:rFonts w:ascii="Trebuchet MS" w:hAnsi="Trebuchet MS"/>
          <w:spacing w:val="20"/>
        </w:rPr>
      </w:pPr>
      <w:r w:rsidRPr="00A95869">
        <w:rPr>
          <w:rFonts w:ascii="Trebuchet MS" w:hAnsi="Trebuchet MS"/>
          <w:spacing w:val="20"/>
        </w:rPr>
        <w:t>Elec</w:t>
      </w:r>
      <w:r>
        <w:rPr>
          <w:rFonts w:ascii="Trebuchet MS" w:hAnsi="Trebuchet MS"/>
          <w:spacing w:val="20"/>
        </w:rPr>
        <w:t>tion</w:t>
      </w:r>
    </w:p>
    <w:p w14:paraId="7C69B5A4" w14:textId="77777777" w:rsidR="00F75C93" w:rsidRDefault="00F75C93" w:rsidP="00A95869">
      <w:pPr>
        <w:spacing w:line="480" w:lineRule="auto"/>
        <w:contextualSpacing/>
        <w:rPr>
          <w:rFonts w:ascii="Trebuchet MS" w:hAnsi="Trebuchet MS"/>
          <w:spacing w:val="20"/>
        </w:rPr>
      </w:pPr>
    </w:p>
    <w:p w14:paraId="7E6A3E4C" w14:textId="069F8EA8" w:rsidR="00F75C93" w:rsidRDefault="00F75C93" w:rsidP="00A95869">
      <w:pPr>
        <w:spacing w:line="480" w:lineRule="auto"/>
        <w:contextualSpacing/>
        <w:rPr>
          <w:rFonts w:ascii="Trebuchet MS" w:hAnsi="Trebuchet MS"/>
          <w:spacing w:val="20"/>
        </w:rPr>
      </w:pPr>
      <w:r>
        <w:rPr>
          <w:rFonts w:ascii="Trebuchet MS" w:hAnsi="Trebuchet MS"/>
          <w:spacing w:val="20"/>
        </w:rPr>
        <w:t>dispute</w:t>
      </w:r>
    </w:p>
    <w:p w14:paraId="4CE4F533" w14:textId="77777777" w:rsidR="00F75C93" w:rsidRDefault="00F75C93" w:rsidP="00A95869">
      <w:pPr>
        <w:spacing w:line="480" w:lineRule="auto"/>
        <w:contextualSpacing/>
        <w:rPr>
          <w:rFonts w:ascii="Trebuchet MS" w:hAnsi="Trebuchet MS"/>
          <w:spacing w:val="20"/>
        </w:rPr>
      </w:pPr>
    </w:p>
    <w:p w14:paraId="32307070" w14:textId="161611CE" w:rsidR="00F75C93" w:rsidRDefault="00F75C93" w:rsidP="00A95869">
      <w:pPr>
        <w:spacing w:line="480" w:lineRule="auto"/>
        <w:contextualSpacing/>
        <w:rPr>
          <w:rFonts w:ascii="Trebuchet MS" w:hAnsi="Trebuchet MS"/>
          <w:spacing w:val="20"/>
        </w:rPr>
      </w:pPr>
      <w:r>
        <w:rPr>
          <w:rFonts w:ascii="Trebuchet MS" w:hAnsi="Trebuchet MS"/>
          <w:spacing w:val="20"/>
        </w:rPr>
        <w:t>resolution</w:t>
      </w:r>
    </w:p>
    <w:p w14:paraId="07565561" w14:textId="77777777" w:rsidR="00F75C93" w:rsidRDefault="00F75C93" w:rsidP="00A95869">
      <w:pPr>
        <w:spacing w:line="480" w:lineRule="auto"/>
        <w:contextualSpacing/>
        <w:rPr>
          <w:rFonts w:ascii="Trebuchet MS" w:hAnsi="Trebuchet MS"/>
          <w:spacing w:val="20"/>
        </w:rPr>
      </w:pPr>
    </w:p>
    <w:p w14:paraId="67B5BBB7" w14:textId="701EC81F" w:rsidR="00F75C93" w:rsidRDefault="00F75C93" w:rsidP="00A95869">
      <w:pPr>
        <w:spacing w:line="480" w:lineRule="auto"/>
        <w:contextualSpacing/>
        <w:rPr>
          <w:rFonts w:ascii="Trebuchet MS" w:hAnsi="Trebuchet MS"/>
          <w:spacing w:val="20"/>
        </w:rPr>
      </w:pPr>
      <w:r>
        <w:rPr>
          <w:rFonts w:ascii="Trebuchet MS" w:hAnsi="Trebuchet MS"/>
          <w:spacing w:val="20"/>
        </w:rPr>
        <w:t>Justice</w:t>
      </w:r>
      <w:r w:rsidR="00A95869">
        <w:rPr>
          <w:rFonts w:ascii="Trebuchet MS" w:hAnsi="Trebuchet MS"/>
          <w:spacing w:val="20"/>
        </w:rPr>
        <w:t xml:space="preserve">; and </w:t>
      </w:r>
      <w:r>
        <w:rPr>
          <w:rFonts w:ascii="Trebuchet MS" w:hAnsi="Trebuchet MS"/>
          <w:spacing w:val="20"/>
        </w:rPr>
        <w:t xml:space="preserve"> </w:t>
      </w:r>
    </w:p>
    <w:p w14:paraId="41EF37F1" w14:textId="77777777" w:rsidR="00F75C93" w:rsidRDefault="00F75C93" w:rsidP="00A95869">
      <w:pPr>
        <w:spacing w:line="480" w:lineRule="auto"/>
        <w:contextualSpacing/>
        <w:rPr>
          <w:rFonts w:ascii="Trebuchet MS" w:hAnsi="Trebuchet MS"/>
          <w:spacing w:val="20"/>
        </w:rPr>
      </w:pPr>
    </w:p>
    <w:p w14:paraId="2AD16E6E" w14:textId="0796AE77" w:rsidR="00F75C93" w:rsidRPr="00E47BA8" w:rsidRDefault="00A95869" w:rsidP="00A95869">
      <w:pPr>
        <w:spacing w:line="480" w:lineRule="auto"/>
        <w:contextualSpacing/>
        <w:rPr>
          <w:rFonts w:ascii="Trebuchet MS" w:hAnsi="Trebuchet MS"/>
          <w:spacing w:val="20"/>
        </w:rPr>
        <w:sectPr w:rsidR="00F75C93" w:rsidRPr="00E47BA8" w:rsidSect="00146479">
          <w:pgSz w:w="11900" w:h="16840"/>
          <w:pgMar w:top="1440" w:right="1800" w:bottom="1440" w:left="1800" w:header="708" w:footer="708" w:gutter="0"/>
          <w:cols w:space="708"/>
          <w:docGrid w:linePitch="360"/>
        </w:sectPr>
      </w:pPr>
      <w:r>
        <w:rPr>
          <w:rFonts w:ascii="Trebuchet MS" w:hAnsi="Trebuchet MS"/>
          <w:spacing w:val="20"/>
        </w:rPr>
        <w:t>Constitution</w:t>
      </w:r>
      <w:r w:rsidR="00F75C93">
        <w:rPr>
          <w:rFonts w:ascii="Trebuchet MS" w:hAnsi="Trebuchet MS"/>
          <w:spacing w:val="20"/>
        </w:rPr>
        <w:t xml:space="preserve"> </w:t>
      </w:r>
    </w:p>
    <w:p w14:paraId="0166ED0C" w14:textId="64A08966" w:rsidR="001145FB" w:rsidRDefault="001145FB" w:rsidP="00E47BA8">
      <w:pPr>
        <w:spacing w:line="480" w:lineRule="auto"/>
        <w:contextualSpacing/>
        <w:jc w:val="center"/>
        <w:rPr>
          <w:rFonts w:ascii="Trebuchet MS" w:hAnsi="Trebuchet MS"/>
          <w:smallCaps/>
          <w:spacing w:val="20"/>
        </w:rPr>
      </w:pPr>
      <w:r>
        <w:rPr>
          <w:rFonts w:ascii="Trebuchet MS" w:hAnsi="Trebuchet MS"/>
          <w:smallCaps/>
          <w:spacing w:val="20"/>
        </w:rPr>
        <w:t>Abstract</w:t>
      </w:r>
    </w:p>
    <w:p w14:paraId="73FF83B7" w14:textId="35242F95" w:rsidR="001145FB" w:rsidRDefault="001145FB" w:rsidP="00E47BA8">
      <w:pPr>
        <w:spacing w:line="480" w:lineRule="auto"/>
        <w:contextualSpacing/>
        <w:jc w:val="both"/>
        <w:rPr>
          <w:rFonts w:ascii="Trebuchet MS" w:hAnsi="Trebuchet MS"/>
          <w:spacing w:val="20"/>
        </w:rPr>
      </w:pPr>
      <w:r>
        <w:rPr>
          <w:rFonts w:ascii="Trebuchet MS" w:hAnsi="Trebuchet MS"/>
          <w:spacing w:val="20"/>
        </w:rPr>
        <w:t>It is getting widely accepted that key to electoral democracy is the concept of free and fair elections. This has been critically in jeopardy in Nigeria for so many years that it is ultimately warranted that concerted efforts must be embarked upon to ensure that we do not</w:t>
      </w:r>
      <w:r w:rsidR="00AC7DF7">
        <w:rPr>
          <w:rFonts w:ascii="Trebuchet MS" w:hAnsi="Trebuchet MS"/>
          <w:spacing w:val="20"/>
        </w:rPr>
        <w:t xml:space="preserve"> have</w:t>
      </w:r>
      <w:bookmarkStart w:id="0" w:name="_GoBack"/>
      <w:bookmarkEnd w:id="0"/>
      <w:r>
        <w:rPr>
          <w:rFonts w:ascii="Trebuchet MS" w:hAnsi="Trebuchet MS"/>
          <w:spacing w:val="20"/>
        </w:rPr>
        <w:t xml:space="preserve"> a democracy anathema in the committee of nations. It is in this vein that this paper seeks to critically examine the performance of Nigeria in electoral democracy, identify problems and challenges bedeviling </w:t>
      </w:r>
      <w:r w:rsidR="0070500C">
        <w:rPr>
          <w:rFonts w:ascii="Trebuchet MS" w:hAnsi="Trebuchet MS"/>
          <w:spacing w:val="20"/>
        </w:rPr>
        <w:t xml:space="preserve">electoral dispute resolution </w:t>
      </w:r>
      <w:r>
        <w:rPr>
          <w:rFonts w:ascii="Trebuchet MS" w:hAnsi="Trebuchet MS"/>
          <w:spacing w:val="20"/>
        </w:rPr>
        <w:t>and to proffer alternative to what is currently obtainable in terms of electoral dispute resolution in order to arrest the degeneration of confidence in the system and prevent the resort to violent choice as being canvassed in some political circles.</w:t>
      </w:r>
    </w:p>
    <w:p w14:paraId="0479D479" w14:textId="77777777" w:rsidR="001145FB" w:rsidRDefault="001145FB" w:rsidP="00E47BA8">
      <w:pPr>
        <w:spacing w:line="480" w:lineRule="auto"/>
        <w:contextualSpacing/>
        <w:jc w:val="both"/>
        <w:rPr>
          <w:rFonts w:ascii="Trebuchet MS" w:hAnsi="Trebuchet MS"/>
          <w:smallCaps/>
          <w:spacing w:val="20"/>
        </w:rPr>
      </w:pPr>
    </w:p>
    <w:p w14:paraId="50D8D469" w14:textId="77777777" w:rsidR="001145FB" w:rsidRDefault="001145FB" w:rsidP="00E47BA8">
      <w:pPr>
        <w:spacing w:line="480" w:lineRule="auto"/>
        <w:contextualSpacing/>
        <w:jc w:val="both"/>
        <w:rPr>
          <w:rFonts w:ascii="Trebuchet MS" w:hAnsi="Trebuchet MS"/>
          <w:smallCaps/>
          <w:spacing w:val="20"/>
        </w:rPr>
        <w:sectPr w:rsidR="001145FB" w:rsidSect="00146479">
          <w:pgSz w:w="11900" w:h="16840"/>
          <w:pgMar w:top="1440" w:right="1800" w:bottom="1440" w:left="1800" w:header="708" w:footer="708" w:gutter="0"/>
          <w:cols w:space="708"/>
          <w:docGrid w:linePitch="360"/>
        </w:sectPr>
      </w:pPr>
    </w:p>
    <w:p w14:paraId="7E506746" w14:textId="715F4D20" w:rsidR="00146479" w:rsidRPr="00E8708A" w:rsidRDefault="00DA5DEF" w:rsidP="000C3E2D">
      <w:pPr>
        <w:pBdr>
          <w:bottom w:val="single" w:sz="4" w:space="1" w:color="auto"/>
        </w:pBdr>
        <w:spacing w:line="480" w:lineRule="auto"/>
        <w:contextualSpacing/>
        <w:jc w:val="center"/>
        <w:rPr>
          <w:rFonts w:ascii="Trebuchet MS" w:hAnsi="Trebuchet MS"/>
          <w:smallCaps/>
          <w:spacing w:val="20"/>
        </w:rPr>
      </w:pPr>
      <w:r w:rsidRPr="00E8708A">
        <w:rPr>
          <w:rFonts w:ascii="Trebuchet MS" w:hAnsi="Trebuchet MS"/>
          <w:smallCaps/>
          <w:spacing w:val="20"/>
        </w:rPr>
        <w:t>Election Dispute Resolution</w:t>
      </w:r>
      <w:r w:rsidR="00F23937">
        <w:rPr>
          <w:rFonts w:ascii="Trebuchet MS" w:hAnsi="Trebuchet MS"/>
          <w:smallCaps/>
          <w:spacing w:val="20"/>
        </w:rPr>
        <w:t xml:space="preserve"> and </w:t>
      </w:r>
      <w:r w:rsidR="00CC4A75">
        <w:rPr>
          <w:rFonts w:ascii="Trebuchet MS" w:hAnsi="Trebuchet MS"/>
          <w:smallCaps/>
          <w:spacing w:val="20"/>
        </w:rPr>
        <w:t>t</w:t>
      </w:r>
      <w:r w:rsidR="00F23937">
        <w:rPr>
          <w:rFonts w:ascii="Trebuchet MS" w:hAnsi="Trebuchet MS"/>
          <w:smallCaps/>
          <w:spacing w:val="20"/>
        </w:rPr>
        <w:t xml:space="preserve">he </w:t>
      </w:r>
      <w:r w:rsidR="001B7C77">
        <w:rPr>
          <w:rFonts w:ascii="Trebuchet MS" w:hAnsi="Trebuchet MS"/>
          <w:smallCaps/>
          <w:spacing w:val="20"/>
        </w:rPr>
        <w:t>Q</w:t>
      </w:r>
      <w:r w:rsidR="00F23937">
        <w:rPr>
          <w:rFonts w:ascii="Trebuchet MS" w:hAnsi="Trebuchet MS"/>
          <w:smallCaps/>
          <w:spacing w:val="20"/>
        </w:rPr>
        <w:t xml:space="preserve">uestion of </w:t>
      </w:r>
      <w:r w:rsidR="001B7C77">
        <w:rPr>
          <w:rFonts w:ascii="Trebuchet MS" w:hAnsi="Trebuchet MS"/>
          <w:smallCaps/>
          <w:spacing w:val="20"/>
        </w:rPr>
        <w:t>J</w:t>
      </w:r>
      <w:r w:rsidR="00F23937">
        <w:rPr>
          <w:rFonts w:ascii="Trebuchet MS" w:hAnsi="Trebuchet MS"/>
          <w:smallCaps/>
          <w:spacing w:val="20"/>
        </w:rPr>
        <w:t xml:space="preserve">ustice in </w:t>
      </w:r>
      <w:r w:rsidR="001B7C77">
        <w:rPr>
          <w:rFonts w:ascii="Trebuchet MS" w:hAnsi="Trebuchet MS"/>
          <w:smallCaps/>
          <w:spacing w:val="20"/>
        </w:rPr>
        <w:t>N</w:t>
      </w:r>
      <w:r w:rsidR="00F23937">
        <w:rPr>
          <w:rFonts w:ascii="Trebuchet MS" w:hAnsi="Trebuchet MS"/>
          <w:smallCaps/>
          <w:spacing w:val="20"/>
        </w:rPr>
        <w:t>igeria</w:t>
      </w:r>
    </w:p>
    <w:p w14:paraId="5862F16E" w14:textId="77777777" w:rsidR="004B6953" w:rsidRDefault="004B6953" w:rsidP="000C3E2D">
      <w:pPr>
        <w:spacing w:line="480" w:lineRule="auto"/>
        <w:contextualSpacing/>
        <w:jc w:val="center"/>
        <w:rPr>
          <w:rFonts w:ascii="Trebuchet MS" w:hAnsi="Trebuchet MS"/>
          <w:spacing w:val="20"/>
        </w:rPr>
      </w:pPr>
    </w:p>
    <w:p w14:paraId="6D96DB24" w14:textId="15D646B3" w:rsidR="00DA5DEF" w:rsidRPr="00F752A4" w:rsidRDefault="004B6953" w:rsidP="000C3E2D">
      <w:pPr>
        <w:spacing w:line="480" w:lineRule="auto"/>
        <w:contextualSpacing/>
        <w:jc w:val="center"/>
        <w:rPr>
          <w:rFonts w:ascii="Trebuchet MS" w:hAnsi="Trebuchet MS"/>
          <w:smallCaps/>
          <w:spacing w:val="20"/>
        </w:rPr>
      </w:pPr>
      <w:r w:rsidRPr="00F752A4">
        <w:rPr>
          <w:rFonts w:ascii="Trebuchet MS" w:hAnsi="Trebuchet MS"/>
          <w:smallCaps/>
          <w:spacing w:val="20"/>
        </w:rPr>
        <w:t>Part I</w:t>
      </w:r>
    </w:p>
    <w:p w14:paraId="7C6F39B1" w14:textId="5B05D74D" w:rsidR="006A45E7" w:rsidRPr="0015515B" w:rsidRDefault="004B6953" w:rsidP="000C3E2D">
      <w:pPr>
        <w:spacing w:line="480" w:lineRule="auto"/>
        <w:contextualSpacing/>
        <w:jc w:val="center"/>
        <w:rPr>
          <w:rFonts w:ascii="Trebuchet MS" w:hAnsi="Trebuchet MS"/>
          <w:b/>
          <w:smallCaps/>
          <w:spacing w:val="20"/>
        </w:rPr>
      </w:pPr>
      <w:r w:rsidRPr="009A03CF">
        <w:rPr>
          <w:rFonts w:ascii="Trebuchet MS" w:hAnsi="Trebuchet MS"/>
          <w:b/>
          <w:smallCaps/>
          <w:spacing w:val="20"/>
        </w:rPr>
        <w:t>Introduction.</w:t>
      </w:r>
    </w:p>
    <w:p w14:paraId="52053C07" w14:textId="77777777" w:rsidR="006A45E7" w:rsidRPr="006A45E7" w:rsidRDefault="006A45E7" w:rsidP="000C3E2D">
      <w:pPr>
        <w:spacing w:line="480" w:lineRule="auto"/>
        <w:contextualSpacing/>
        <w:jc w:val="both"/>
        <w:rPr>
          <w:rFonts w:ascii="Trebuchet MS" w:hAnsi="Trebuchet MS"/>
          <w:spacing w:val="20"/>
        </w:rPr>
      </w:pPr>
      <w:r w:rsidRPr="006A45E7">
        <w:rPr>
          <w:rFonts w:ascii="Trebuchet MS" w:hAnsi="Trebuchet MS"/>
          <w:spacing w:val="20"/>
        </w:rPr>
        <w:t>There is growing international consensus, particularly in political and legal circles, that the principle of free and fair elections is a core value of electoral democracy. In fact, this principle is contained in key international instruments and also regional protocols which deal with issues of promoting human rights, democracy, and good governance. In addition, the principle has been incorporated, albeit with different expressions, in national constitutions and other domestic laws. Thus, as electoral democracy has extended to various continents and regions of the globe, the principle of free and fair elections has emerged as the standard for evaluating the extent to which democracy has been attained and entrenched in each part of the world.</w:t>
      </w:r>
      <w:r>
        <w:rPr>
          <w:rStyle w:val="FootnoteReference"/>
          <w:rFonts w:ascii="Trebuchet MS" w:hAnsi="Trebuchet MS"/>
          <w:spacing w:val="20"/>
        </w:rPr>
        <w:footnoteReference w:id="1"/>
      </w:r>
    </w:p>
    <w:p w14:paraId="2DDCB4C8" w14:textId="77777777" w:rsidR="00AC6EA2" w:rsidRDefault="00AC6EA2" w:rsidP="000C3E2D">
      <w:pPr>
        <w:spacing w:line="480" w:lineRule="auto"/>
        <w:contextualSpacing/>
        <w:jc w:val="both"/>
        <w:rPr>
          <w:rFonts w:ascii="Trebuchet MS" w:hAnsi="Trebuchet MS"/>
        </w:rPr>
      </w:pPr>
    </w:p>
    <w:p w14:paraId="07102724" w14:textId="145B15C1" w:rsidR="00DA5DEF" w:rsidRDefault="00AC6EA2" w:rsidP="000C3E2D">
      <w:pPr>
        <w:spacing w:line="480" w:lineRule="auto"/>
        <w:contextualSpacing/>
        <w:jc w:val="both"/>
        <w:rPr>
          <w:rFonts w:ascii="Trebuchet MS" w:hAnsi="Trebuchet MS"/>
          <w:spacing w:val="20"/>
        </w:rPr>
      </w:pPr>
      <w:r w:rsidRPr="00AC6EA2">
        <w:rPr>
          <w:rFonts w:ascii="Trebuchet MS" w:hAnsi="Trebuchet MS"/>
          <w:spacing w:val="20"/>
        </w:rPr>
        <w:t>It is no longer news that violent struggle for political power, rising spate of electoral disputes and daunting challenges posed to the administration of justice still remain a critical component of political developments in African countries. In Nigeria for instance, since the attainment of political independence in 1960, elections and electioneering campaigns have often been characterised by thuggery, violence, fraud, corruption and other forms of malpractices. The statutory framework and judicial approach to them by the courts and tribunals to this malaise have often left many people disappointed.</w:t>
      </w:r>
      <w:r w:rsidR="00192B70">
        <w:rPr>
          <w:rStyle w:val="FootnoteReference"/>
          <w:rFonts w:ascii="Trebuchet MS" w:hAnsi="Trebuchet MS"/>
          <w:spacing w:val="20"/>
        </w:rPr>
        <w:footnoteReference w:id="2"/>
      </w:r>
    </w:p>
    <w:p w14:paraId="339FB113" w14:textId="77777777" w:rsidR="00DC167E" w:rsidRDefault="00DC167E" w:rsidP="000C3E2D">
      <w:pPr>
        <w:spacing w:line="480" w:lineRule="auto"/>
        <w:contextualSpacing/>
        <w:jc w:val="both"/>
        <w:rPr>
          <w:rFonts w:ascii="Trebuchet MS" w:hAnsi="Trebuchet MS"/>
          <w:spacing w:val="20"/>
        </w:rPr>
      </w:pPr>
    </w:p>
    <w:p w14:paraId="55AAF9C2" w14:textId="6BB9F191" w:rsidR="00E80E9C" w:rsidRDefault="00DC167E" w:rsidP="000C3E2D">
      <w:pPr>
        <w:spacing w:line="480" w:lineRule="auto"/>
        <w:contextualSpacing/>
        <w:jc w:val="both"/>
        <w:rPr>
          <w:rFonts w:ascii="Trebuchet MS" w:hAnsi="Trebuchet MS"/>
          <w:spacing w:val="20"/>
        </w:rPr>
      </w:pPr>
      <w:r w:rsidRPr="00DC167E">
        <w:rPr>
          <w:rFonts w:ascii="Trebuchet MS" w:hAnsi="Trebuchet MS"/>
          <w:spacing w:val="20"/>
        </w:rPr>
        <w:t>A vital part of any election which makes the process credible is the opportunity for contesting candidates and citizens to seek resolution of complaints and disputes relat</w:t>
      </w:r>
      <w:r w:rsidR="00D27725">
        <w:rPr>
          <w:rFonts w:ascii="Trebuchet MS" w:hAnsi="Trebuchet MS"/>
          <w:spacing w:val="20"/>
        </w:rPr>
        <w:t>ing</w:t>
      </w:r>
      <w:r w:rsidRPr="00DC167E">
        <w:rPr>
          <w:rFonts w:ascii="Trebuchet MS" w:hAnsi="Trebuchet MS"/>
          <w:spacing w:val="20"/>
        </w:rPr>
        <w:t xml:space="preserve"> to</w:t>
      </w:r>
      <w:r w:rsidR="00D27725">
        <w:rPr>
          <w:rFonts w:ascii="Trebuchet MS" w:hAnsi="Trebuchet MS"/>
          <w:spacing w:val="20"/>
        </w:rPr>
        <w:t xml:space="preserve"> the</w:t>
      </w:r>
      <w:r w:rsidRPr="00DC167E">
        <w:rPr>
          <w:rFonts w:ascii="Trebuchet MS" w:hAnsi="Trebuchet MS"/>
          <w:spacing w:val="20"/>
        </w:rPr>
        <w:t xml:space="preserve"> electoral process. Fairness, transparency and legitimacy of elections largely depend on a country’s effective Election Dispute Resolution (EDR) processes.</w:t>
      </w:r>
      <w:r w:rsidR="00E80E9C">
        <w:rPr>
          <w:rFonts w:ascii="Trebuchet MS" w:hAnsi="Trebuchet MS"/>
          <w:spacing w:val="20"/>
        </w:rPr>
        <w:t xml:space="preserve"> </w:t>
      </w:r>
      <w:r w:rsidR="00E80E9C" w:rsidRPr="00E80E9C">
        <w:rPr>
          <w:rFonts w:ascii="Trebuchet MS" w:hAnsi="Trebuchet MS"/>
          <w:spacing w:val="20"/>
        </w:rPr>
        <w:t>The resolution of complaints and disputes at any stage of elections often go unresolved or are left to uncertain and slow adjudicative resolution.</w:t>
      </w:r>
      <w:r w:rsidR="005B158D">
        <w:rPr>
          <w:rStyle w:val="FootnoteReference"/>
          <w:rFonts w:ascii="Trebuchet MS" w:hAnsi="Trebuchet MS"/>
          <w:spacing w:val="20"/>
        </w:rPr>
        <w:footnoteReference w:id="3"/>
      </w:r>
      <w:r w:rsidR="005B158D">
        <w:rPr>
          <w:rFonts w:ascii="Trebuchet MS" w:hAnsi="Trebuchet MS"/>
          <w:spacing w:val="20"/>
        </w:rPr>
        <w:t xml:space="preserve"> </w:t>
      </w:r>
    </w:p>
    <w:p w14:paraId="7CC56C38" w14:textId="77777777" w:rsidR="009743F2" w:rsidRDefault="009743F2" w:rsidP="000C3E2D">
      <w:pPr>
        <w:spacing w:line="480" w:lineRule="auto"/>
        <w:contextualSpacing/>
        <w:jc w:val="both"/>
        <w:rPr>
          <w:rFonts w:ascii="Trebuchet MS" w:hAnsi="Trebuchet MS"/>
          <w:spacing w:val="20"/>
        </w:rPr>
      </w:pPr>
    </w:p>
    <w:p w14:paraId="565BE0C2" w14:textId="313F813A" w:rsidR="00057D86" w:rsidRPr="00057D86" w:rsidRDefault="00057D86" w:rsidP="000C3E2D">
      <w:pPr>
        <w:spacing w:line="480" w:lineRule="auto"/>
        <w:contextualSpacing/>
        <w:jc w:val="both"/>
        <w:rPr>
          <w:rFonts w:ascii="Trebuchet MS" w:hAnsi="Trebuchet MS"/>
          <w:spacing w:val="20"/>
        </w:rPr>
      </w:pPr>
      <w:r>
        <w:rPr>
          <w:rFonts w:ascii="Trebuchet MS" w:hAnsi="Trebuchet MS"/>
          <w:spacing w:val="20"/>
        </w:rPr>
        <w:t xml:space="preserve">There is a general understanding that effective electoral dispute resolution mechanisms and processes are </w:t>
      </w:r>
      <w:r w:rsidRPr="00057D86">
        <w:rPr>
          <w:rFonts w:ascii="Trebuchet MS" w:hAnsi="Trebuchet MS"/>
          <w:i/>
          <w:spacing w:val="20"/>
        </w:rPr>
        <w:t>sine qua non</w:t>
      </w:r>
      <w:r>
        <w:rPr>
          <w:rFonts w:ascii="Trebuchet MS" w:hAnsi="Trebuchet MS"/>
          <w:i/>
          <w:spacing w:val="20"/>
        </w:rPr>
        <w:t xml:space="preserve"> </w:t>
      </w:r>
      <w:r>
        <w:rPr>
          <w:rFonts w:ascii="Trebuchet MS" w:hAnsi="Trebuchet MS"/>
          <w:spacing w:val="20"/>
        </w:rPr>
        <w:t xml:space="preserve">for free and fair elections. Such election dispute resolution </w:t>
      </w:r>
      <w:r w:rsidR="00F23937">
        <w:rPr>
          <w:rFonts w:ascii="Trebuchet MS" w:hAnsi="Trebuchet MS"/>
          <w:spacing w:val="20"/>
        </w:rPr>
        <w:t>mechanism</w:t>
      </w:r>
      <w:r>
        <w:rPr>
          <w:rFonts w:ascii="Trebuchet MS" w:hAnsi="Trebuchet MS"/>
          <w:spacing w:val="20"/>
        </w:rPr>
        <w:t xml:space="preserve"> should serve as the ultimate guarantor of the principle of free and fair elections. To fulfill this requirement, the election dispute resolution should</w:t>
      </w:r>
      <w:r w:rsidR="009743F2">
        <w:rPr>
          <w:rFonts w:ascii="Trebuchet MS" w:hAnsi="Trebuchet MS"/>
          <w:spacing w:val="20"/>
        </w:rPr>
        <w:t xml:space="preserve"> uphold, among others, values of independence, impartiality, and the rule of law.</w:t>
      </w:r>
      <w:r w:rsidR="009743F2">
        <w:rPr>
          <w:rStyle w:val="FootnoteReference"/>
          <w:rFonts w:ascii="Trebuchet MS" w:hAnsi="Trebuchet MS"/>
          <w:spacing w:val="20"/>
        </w:rPr>
        <w:footnoteReference w:id="4"/>
      </w:r>
    </w:p>
    <w:p w14:paraId="6D7DD1BC" w14:textId="77777777" w:rsidR="004839CC" w:rsidRDefault="004839CC" w:rsidP="000C3E2D">
      <w:pPr>
        <w:spacing w:line="480" w:lineRule="auto"/>
        <w:contextualSpacing/>
        <w:jc w:val="both"/>
        <w:rPr>
          <w:rFonts w:ascii="Trebuchet MS" w:hAnsi="Trebuchet MS"/>
          <w:spacing w:val="20"/>
        </w:rPr>
      </w:pPr>
    </w:p>
    <w:p w14:paraId="0EE3FFCD" w14:textId="347401AE" w:rsidR="004839CC" w:rsidRDefault="00F23937" w:rsidP="000C3E2D">
      <w:pPr>
        <w:spacing w:line="480" w:lineRule="auto"/>
        <w:contextualSpacing/>
        <w:jc w:val="both"/>
        <w:rPr>
          <w:rFonts w:ascii="Trebuchet MS" w:hAnsi="Trebuchet MS"/>
          <w:spacing w:val="20"/>
        </w:rPr>
      </w:pPr>
      <w:r>
        <w:rPr>
          <w:rFonts w:ascii="Trebuchet MS" w:hAnsi="Trebuchet MS"/>
          <w:spacing w:val="20"/>
        </w:rPr>
        <w:t>The essence of this paper is to essentially probe the election resolution dispute mechanism in Nigeria against the backdrop of justice and growing dis</w:t>
      </w:r>
      <w:r w:rsidR="00830095">
        <w:rPr>
          <w:rFonts w:ascii="Trebuchet MS" w:hAnsi="Trebuchet MS"/>
          <w:spacing w:val="20"/>
        </w:rPr>
        <w:t>enchantment</w:t>
      </w:r>
      <w:r>
        <w:rPr>
          <w:rFonts w:ascii="Trebuchet MS" w:hAnsi="Trebuchet MS"/>
          <w:spacing w:val="20"/>
        </w:rPr>
        <w:t xml:space="preserve"> on the system. The paper seeks to proffer alternative to what is currently obtainable in order to arrest the degeneration of confidence in the system an</w:t>
      </w:r>
      <w:r w:rsidR="00794DFF">
        <w:rPr>
          <w:rFonts w:ascii="Trebuchet MS" w:hAnsi="Trebuchet MS"/>
          <w:spacing w:val="20"/>
        </w:rPr>
        <w:t>d prevent the resort to violent</w:t>
      </w:r>
      <w:r>
        <w:rPr>
          <w:rFonts w:ascii="Trebuchet MS" w:hAnsi="Trebuchet MS"/>
          <w:spacing w:val="20"/>
        </w:rPr>
        <w:t xml:space="preserve"> choice as being canvassed in some political circles.</w:t>
      </w:r>
      <w:r w:rsidR="00A07DFD">
        <w:rPr>
          <w:rStyle w:val="FootnoteReference"/>
          <w:rFonts w:ascii="Trebuchet MS" w:hAnsi="Trebuchet MS"/>
          <w:spacing w:val="20"/>
        </w:rPr>
        <w:footnoteReference w:id="5"/>
      </w:r>
      <w:r>
        <w:rPr>
          <w:rFonts w:ascii="Trebuchet MS" w:hAnsi="Trebuchet MS"/>
          <w:spacing w:val="20"/>
        </w:rPr>
        <w:t xml:space="preserve"> The logic in this regard is simple, since there is no credible complaint machinery, I must do all within my power to achieve victory on the field. </w:t>
      </w:r>
      <w:r w:rsidRPr="000540BD">
        <w:rPr>
          <w:rFonts w:ascii="Trebuchet MS" w:hAnsi="Trebuchet MS"/>
          <w:spacing w:val="20"/>
        </w:rPr>
        <w:t>This growing thought is further complicated by some similar pronouncements from our courts.</w:t>
      </w:r>
      <w:r w:rsidR="007009E6" w:rsidRPr="00925A7E">
        <w:rPr>
          <w:rStyle w:val="FootnoteReference"/>
          <w:rFonts w:ascii="Trebuchet MS" w:hAnsi="Trebuchet MS"/>
          <w:spacing w:val="20"/>
        </w:rPr>
        <w:footnoteReference w:id="6"/>
      </w:r>
      <w:r w:rsidR="00794DFF" w:rsidRPr="00925A7E">
        <w:rPr>
          <w:rFonts w:ascii="Trebuchet MS" w:hAnsi="Trebuchet MS"/>
          <w:spacing w:val="20"/>
        </w:rPr>
        <w:t xml:space="preserve"> In order to properly si</w:t>
      </w:r>
      <w:r w:rsidR="00794DFF" w:rsidRPr="007449FF">
        <w:rPr>
          <w:rFonts w:ascii="Trebuchet MS" w:hAnsi="Trebuchet MS"/>
          <w:spacing w:val="20"/>
        </w:rPr>
        <w:t>tuate our discussion, it is proposed to start with conceptual clarification of terms.</w:t>
      </w:r>
      <w:r w:rsidR="00794DFF">
        <w:rPr>
          <w:rFonts w:ascii="Trebuchet MS" w:hAnsi="Trebuchet MS"/>
          <w:spacing w:val="20"/>
        </w:rPr>
        <w:t xml:space="preserve"> </w:t>
      </w:r>
      <w:r w:rsidR="004839CC">
        <w:rPr>
          <w:rFonts w:ascii="Trebuchet MS" w:hAnsi="Trebuchet MS"/>
          <w:spacing w:val="20"/>
        </w:rPr>
        <w:t>This</w:t>
      </w:r>
      <w:r w:rsidR="00F1788F">
        <w:rPr>
          <w:rFonts w:ascii="Trebuchet MS" w:hAnsi="Trebuchet MS"/>
          <w:spacing w:val="20"/>
        </w:rPr>
        <w:t xml:space="preserve"> </w:t>
      </w:r>
      <w:r w:rsidR="004839CC">
        <w:rPr>
          <w:rFonts w:ascii="Trebuchet MS" w:hAnsi="Trebuchet MS"/>
          <w:spacing w:val="20"/>
        </w:rPr>
        <w:t>will then be followed by the Consti</w:t>
      </w:r>
      <w:r w:rsidR="00F1788F">
        <w:rPr>
          <w:rFonts w:ascii="Trebuchet MS" w:hAnsi="Trebuchet MS"/>
          <w:spacing w:val="20"/>
        </w:rPr>
        <w:t>t</w:t>
      </w:r>
      <w:r w:rsidR="004839CC">
        <w:rPr>
          <w:rFonts w:ascii="Trebuchet MS" w:hAnsi="Trebuchet MS"/>
          <w:spacing w:val="20"/>
        </w:rPr>
        <w:t xml:space="preserve">utional </w:t>
      </w:r>
      <w:r w:rsidR="00F1788F">
        <w:rPr>
          <w:rFonts w:ascii="Trebuchet MS" w:hAnsi="Trebuchet MS"/>
          <w:spacing w:val="20"/>
        </w:rPr>
        <w:t xml:space="preserve">framework and legal framework </w:t>
      </w:r>
      <w:r w:rsidR="004839CC" w:rsidRPr="0062291F">
        <w:rPr>
          <w:rFonts w:ascii="Trebuchet MS" w:hAnsi="Trebuchet MS"/>
          <w:spacing w:val="20"/>
        </w:rPr>
        <w:t>for election</w:t>
      </w:r>
      <w:r w:rsidR="00F1788F">
        <w:rPr>
          <w:rFonts w:ascii="Trebuchet MS" w:hAnsi="Trebuchet MS"/>
          <w:spacing w:val="20"/>
        </w:rPr>
        <w:t xml:space="preserve"> dispute resolution</w:t>
      </w:r>
      <w:r w:rsidR="004839CC" w:rsidRPr="0062291F">
        <w:rPr>
          <w:rFonts w:ascii="Trebuchet MS" w:hAnsi="Trebuchet MS"/>
          <w:spacing w:val="20"/>
        </w:rPr>
        <w:t xml:space="preserve"> in Nigeria. </w:t>
      </w:r>
      <w:r w:rsidR="00794DFF">
        <w:rPr>
          <w:rFonts w:ascii="Trebuchet MS" w:hAnsi="Trebuchet MS"/>
          <w:spacing w:val="20"/>
        </w:rPr>
        <w:t xml:space="preserve">Thereafter, an excursion into the typology of electoral disputes will be made, particularly with regard to </w:t>
      </w:r>
      <w:r w:rsidR="001145FB">
        <w:rPr>
          <w:rFonts w:ascii="Trebuchet MS" w:hAnsi="Trebuchet MS"/>
          <w:spacing w:val="20"/>
        </w:rPr>
        <w:t>i</w:t>
      </w:r>
      <w:r w:rsidR="00FD52F0">
        <w:rPr>
          <w:rFonts w:ascii="Trebuchet MS" w:hAnsi="Trebuchet MS"/>
          <w:spacing w:val="20"/>
        </w:rPr>
        <w:t>ssues</w:t>
      </w:r>
      <w:r w:rsidR="00794DFF">
        <w:rPr>
          <w:rFonts w:ascii="Trebuchet MS" w:hAnsi="Trebuchet MS"/>
          <w:spacing w:val="20"/>
        </w:rPr>
        <w:t xml:space="preserve"> arising from</w:t>
      </w:r>
      <w:r w:rsidR="00FD52F0">
        <w:rPr>
          <w:rFonts w:ascii="Trebuchet MS" w:hAnsi="Trebuchet MS"/>
          <w:spacing w:val="20"/>
        </w:rPr>
        <w:t xml:space="preserve"> primary and general election</w:t>
      </w:r>
      <w:r w:rsidR="00794DFF">
        <w:rPr>
          <w:rFonts w:ascii="Trebuchet MS" w:hAnsi="Trebuchet MS"/>
          <w:spacing w:val="20"/>
        </w:rPr>
        <w:t>. Evaluation of electoral disputes resolution so far shall be undertaken.</w:t>
      </w:r>
      <w:r w:rsidR="00FD52F0">
        <w:rPr>
          <w:rFonts w:ascii="Trebuchet MS" w:hAnsi="Trebuchet MS"/>
          <w:spacing w:val="20"/>
        </w:rPr>
        <w:t xml:space="preserve"> </w:t>
      </w:r>
      <w:r w:rsidR="004839CC" w:rsidRPr="0062291F">
        <w:rPr>
          <w:rFonts w:ascii="Trebuchet MS" w:hAnsi="Trebuchet MS"/>
          <w:spacing w:val="20"/>
        </w:rPr>
        <w:t xml:space="preserve">The </w:t>
      </w:r>
      <w:r w:rsidR="00F1788F">
        <w:rPr>
          <w:rFonts w:ascii="Trebuchet MS" w:hAnsi="Trebuchet MS"/>
          <w:spacing w:val="20"/>
        </w:rPr>
        <w:t xml:space="preserve">paper </w:t>
      </w:r>
      <w:r w:rsidR="004839CC" w:rsidRPr="0062291F">
        <w:rPr>
          <w:rFonts w:ascii="Trebuchet MS" w:hAnsi="Trebuchet MS"/>
          <w:spacing w:val="20"/>
        </w:rPr>
        <w:t>will</w:t>
      </w:r>
      <w:r w:rsidR="00794DFF">
        <w:rPr>
          <w:rFonts w:ascii="Trebuchet MS" w:hAnsi="Trebuchet MS"/>
          <w:spacing w:val="20"/>
        </w:rPr>
        <w:t xml:space="preserve"> then proceed by way of conclusion</w:t>
      </w:r>
      <w:r w:rsidR="004839CC" w:rsidRPr="0062291F">
        <w:rPr>
          <w:rFonts w:ascii="Trebuchet MS" w:hAnsi="Trebuchet MS"/>
          <w:spacing w:val="20"/>
        </w:rPr>
        <w:t xml:space="preserve"> by </w:t>
      </w:r>
      <w:r w:rsidR="00F1788F">
        <w:rPr>
          <w:rFonts w:ascii="Trebuchet MS" w:hAnsi="Trebuchet MS"/>
          <w:spacing w:val="20"/>
        </w:rPr>
        <w:t xml:space="preserve">proffering </w:t>
      </w:r>
      <w:r w:rsidR="00F1788F" w:rsidRPr="0062291F">
        <w:rPr>
          <w:rFonts w:ascii="Trebuchet MS" w:hAnsi="Trebuchet MS"/>
          <w:spacing w:val="20"/>
        </w:rPr>
        <w:t>v</w:t>
      </w:r>
      <w:r w:rsidR="00794DFF">
        <w:rPr>
          <w:rFonts w:ascii="Trebuchet MS" w:hAnsi="Trebuchet MS"/>
          <w:spacing w:val="20"/>
        </w:rPr>
        <w:t>iable</w:t>
      </w:r>
      <w:r w:rsidR="004839CC" w:rsidRPr="0062291F">
        <w:rPr>
          <w:rFonts w:ascii="Trebuchet MS" w:hAnsi="Trebuchet MS"/>
          <w:spacing w:val="20"/>
        </w:rPr>
        <w:t xml:space="preserve"> </w:t>
      </w:r>
      <w:r w:rsidR="00794DFF">
        <w:rPr>
          <w:rFonts w:ascii="Trebuchet MS" w:hAnsi="Trebuchet MS"/>
          <w:spacing w:val="20"/>
        </w:rPr>
        <w:t>alternative</w:t>
      </w:r>
      <w:r w:rsidR="00F1788F">
        <w:rPr>
          <w:rFonts w:ascii="Trebuchet MS" w:hAnsi="Trebuchet MS"/>
          <w:spacing w:val="20"/>
        </w:rPr>
        <w:t xml:space="preserve"> for effective election dispute resolutions with a view to instilling confidence </w:t>
      </w:r>
      <w:r w:rsidR="00656CD8">
        <w:rPr>
          <w:rFonts w:ascii="Trebuchet MS" w:hAnsi="Trebuchet MS"/>
          <w:spacing w:val="20"/>
        </w:rPr>
        <w:t xml:space="preserve">not only in the candidates and political parties at an election but also to the </w:t>
      </w:r>
      <w:r w:rsidR="00F1788F">
        <w:rPr>
          <w:rFonts w:ascii="Trebuchet MS" w:hAnsi="Trebuchet MS"/>
          <w:spacing w:val="20"/>
        </w:rPr>
        <w:t>electorates</w:t>
      </w:r>
      <w:r w:rsidR="00FF2641">
        <w:rPr>
          <w:rFonts w:ascii="Trebuchet MS" w:hAnsi="Trebuchet MS"/>
          <w:spacing w:val="20"/>
        </w:rPr>
        <w:t xml:space="preserve"> that are concerned about electoral justice</w:t>
      </w:r>
      <w:r w:rsidR="00857CB3">
        <w:rPr>
          <w:rFonts w:ascii="Trebuchet MS" w:hAnsi="Trebuchet MS"/>
          <w:spacing w:val="20"/>
        </w:rPr>
        <w:t xml:space="preserve"> system in Nigeria</w:t>
      </w:r>
      <w:r w:rsidR="004839CC" w:rsidRPr="0062291F">
        <w:rPr>
          <w:rFonts w:ascii="Trebuchet MS" w:hAnsi="Trebuchet MS"/>
          <w:spacing w:val="20"/>
        </w:rPr>
        <w:t>.</w:t>
      </w:r>
    </w:p>
    <w:p w14:paraId="223115EE" w14:textId="77777777" w:rsidR="00C22964" w:rsidRDefault="00C22964" w:rsidP="000C3E2D">
      <w:pPr>
        <w:spacing w:line="480" w:lineRule="auto"/>
        <w:contextualSpacing/>
        <w:jc w:val="center"/>
        <w:rPr>
          <w:rFonts w:ascii="Trebuchet MS" w:hAnsi="Trebuchet MS"/>
          <w:spacing w:val="20"/>
        </w:rPr>
      </w:pPr>
    </w:p>
    <w:p w14:paraId="725B54E2" w14:textId="594DA52E" w:rsidR="004B6953" w:rsidRPr="00E47BA8" w:rsidRDefault="004B6953" w:rsidP="000C3E2D">
      <w:pPr>
        <w:spacing w:line="480" w:lineRule="auto"/>
        <w:contextualSpacing/>
        <w:jc w:val="center"/>
        <w:rPr>
          <w:rFonts w:ascii="Trebuchet MS" w:hAnsi="Trebuchet MS"/>
          <w:smallCaps/>
          <w:spacing w:val="20"/>
        </w:rPr>
      </w:pPr>
      <w:r w:rsidRPr="00E47BA8">
        <w:rPr>
          <w:rFonts w:ascii="Trebuchet MS" w:hAnsi="Trebuchet MS"/>
          <w:smallCaps/>
          <w:spacing w:val="20"/>
        </w:rPr>
        <w:t>Part II</w:t>
      </w:r>
    </w:p>
    <w:p w14:paraId="50D7F296" w14:textId="3F41A9F8" w:rsidR="004B6953" w:rsidRPr="009A03CF" w:rsidRDefault="008229D1" w:rsidP="000C3E2D">
      <w:pPr>
        <w:spacing w:line="480" w:lineRule="auto"/>
        <w:contextualSpacing/>
        <w:jc w:val="center"/>
        <w:rPr>
          <w:rFonts w:ascii="Trebuchet MS" w:hAnsi="Trebuchet MS"/>
          <w:b/>
          <w:smallCaps/>
          <w:spacing w:val="20"/>
        </w:rPr>
      </w:pPr>
      <w:r w:rsidRPr="009A03CF">
        <w:rPr>
          <w:rFonts w:ascii="Trebuchet MS" w:hAnsi="Trebuchet MS"/>
          <w:b/>
          <w:smallCaps/>
          <w:spacing w:val="20"/>
        </w:rPr>
        <w:t>Conceptual Clarification</w:t>
      </w:r>
    </w:p>
    <w:p w14:paraId="54008301" w14:textId="502305C1" w:rsidR="00E80E9C" w:rsidRDefault="001737BE" w:rsidP="000C3E2D">
      <w:pPr>
        <w:spacing w:line="480" w:lineRule="auto"/>
        <w:contextualSpacing/>
        <w:jc w:val="both"/>
        <w:rPr>
          <w:rFonts w:ascii="Trebuchet MS" w:hAnsi="Trebuchet MS"/>
          <w:spacing w:val="20"/>
        </w:rPr>
      </w:pPr>
      <w:r>
        <w:rPr>
          <w:rFonts w:ascii="Trebuchet MS" w:hAnsi="Trebuchet MS"/>
          <w:spacing w:val="20"/>
        </w:rPr>
        <w:t>As</w:t>
      </w:r>
      <w:r w:rsidR="008229D1">
        <w:rPr>
          <w:rFonts w:ascii="Trebuchet MS" w:hAnsi="Trebuchet MS"/>
          <w:spacing w:val="20"/>
        </w:rPr>
        <w:t xml:space="preserve"> </w:t>
      </w:r>
      <w:r w:rsidR="002D7939">
        <w:rPr>
          <w:rFonts w:ascii="Trebuchet MS" w:hAnsi="Trebuchet MS"/>
          <w:spacing w:val="20"/>
        </w:rPr>
        <w:t>indicated earlier,</w:t>
      </w:r>
      <w:r w:rsidR="00C22964">
        <w:rPr>
          <w:rFonts w:ascii="Trebuchet MS" w:hAnsi="Trebuchet MS"/>
          <w:spacing w:val="20"/>
        </w:rPr>
        <w:t xml:space="preserve"> </w:t>
      </w:r>
      <w:r w:rsidR="008229D1">
        <w:rPr>
          <w:rFonts w:ascii="Trebuchet MS" w:hAnsi="Trebuchet MS"/>
          <w:spacing w:val="20"/>
        </w:rPr>
        <w:t xml:space="preserve">this paper is aimed at examining election dispute resolution in Nigeria. It is in this wise that it becomes </w:t>
      </w:r>
      <w:r w:rsidR="002D7939">
        <w:rPr>
          <w:rFonts w:ascii="Trebuchet MS" w:hAnsi="Trebuchet MS"/>
          <w:spacing w:val="20"/>
        </w:rPr>
        <w:t>apt</w:t>
      </w:r>
      <w:r w:rsidR="008229D1">
        <w:rPr>
          <w:rFonts w:ascii="Trebuchet MS" w:hAnsi="Trebuchet MS"/>
          <w:spacing w:val="20"/>
        </w:rPr>
        <w:t xml:space="preserve"> to </w:t>
      </w:r>
      <w:r w:rsidR="002D7939">
        <w:rPr>
          <w:rFonts w:ascii="Trebuchet MS" w:hAnsi="Trebuchet MS"/>
          <w:spacing w:val="20"/>
        </w:rPr>
        <w:t>examine the</w:t>
      </w:r>
      <w:r w:rsidR="008229D1">
        <w:rPr>
          <w:rFonts w:ascii="Trebuchet MS" w:hAnsi="Trebuchet MS"/>
          <w:spacing w:val="20"/>
        </w:rPr>
        <w:t xml:space="preserve"> basic concepts</w:t>
      </w:r>
      <w:r w:rsidR="002D7939">
        <w:rPr>
          <w:rFonts w:ascii="Trebuchet MS" w:hAnsi="Trebuchet MS"/>
          <w:spacing w:val="20"/>
        </w:rPr>
        <w:t xml:space="preserve"> associated with</w:t>
      </w:r>
      <w:r w:rsidR="008229D1">
        <w:rPr>
          <w:rFonts w:ascii="Trebuchet MS" w:hAnsi="Trebuchet MS"/>
          <w:spacing w:val="20"/>
        </w:rPr>
        <w:t xml:space="preserve"> the topic</w:t>
      </w:r>
      <w:r w:rsidR="002D7939">
        <w:rPr>
          <w:rFonts w:ascii="Trebuchet MS" w:hAnsi="Trebuchet MS"/>
          <w:spacing w:val="20"/>
        </w:rPr>
        <w:t>.</w:t>
      </w:r>
    </w:p>
    <w:p w14:paraId="7C3196F7" w14:textId="77777777" w:rsidR="00C569B8" w:rsidRDefault="00C569B8" w:rsidP="000C3E2D">
      <w:pPr>
        <w:spacing w:line="480" w:lineRule="auto"/>
        <w:contextualSpacing/>
        <w:jc w:val="both"/>
        <w:rPr>
          <w:rFonts w:ascii="Trebuchet MS" w:hAnsi="Trebuchet MS"/>
          <w:spacing w:val="20"/>
        </w:rPr>
      </w:pPr>
    </w:p>
    <w:p w14:paraId="39DD91C4" w14:textId="77777777" w:rsidR="00512C75" w:rsidRPr="00457B18" w:rsidRDefault="00512C75" w:rsidP="000C3E2D">
      <w:pPr>
        <w:spacing w:line="480" w:lineRule="auto"/>
        <w:contextualSpacing/>
        <w:jc w:val="both"/>
        <w:rPr>
          <w:rFonts w:ascii="Trebuchet MS" w:hAnsi="Trebuchet MS"/>
          <w:b/>
          <w:spacing w:val="20"/>
        </w:rPr>
      </w:pPr>
      <w:r w:rsidRPr="00457B18">
        <w:rPr>
          <w:rFonts w:ascii="Trebuchet MS" w:hAnsi="Trebuchet MS"/>
          <w:b/>
          <w:spacing w:val="20"/>
        </w:rPr>
        <w:t>Election</w:t>
      </w:r>
    </w:p>
    <w:p w14:paraId="042DCD3F" w14:textId="3DC58393" w:rsidR="00512C75" w:rsidRPr="0062291F" w:rsidRDefault="0076375D" w:rsidP="000C3E2D">
      <w:pPr>
        <w:spacing w:line="480" w:lineRule="auto"/>
        <w:contextualSpacing/>
        <w:jc w:val="both"/>
        <w:rPr>
          <w:rFonts w:ascii="Trebuchet MS" w:hAnsi="Trebuchet MS"/>
          <w:spacing w:val="20"/>
        </w:rPr>
      </w:pPr>
      <w:r w:rsidRPr="0062291F">
        <w:rPr>
          <w:rFonts w:ascii="Trebuchet MS" w:hAnsi="Trebuchet MS"/>
          <w:spacing w:val="20"/>
        </w:rPr>
        <w:t>Generally</w:t>
      </w:r>
      <w:r w:rsidR="00512C75" w:rsidRPr="0062291F">
        <w:rPr>
          <w:rFonts w:ascii="Trebuchet MS" w:hAnsi="Trebuchet MS"/>
          <w:spacing w:val="20"/>
        </w:rPr>
        <w:t xml:space="preserve">, the word ‘election’ is </w:t>
      </w:r>
      <w:r w:rsidRPr="0062291F">
        <w:rPr>
          <w:rFonts w:ascii="Trebuchet MS" w:hAnsi="Trebuchet MS"/>
          <w:spacing w:val="20"/>
        </w:rPr>
        <w:t>described</w:t>
      </w:r>
      <w:r w:rsidR="00512C75" w:rsidRPr="0062291F">
        <w:rPr>
          <w:rFonts w:ascii="Trebuchet MS" w:hAnsi="Trebuchet MS"/>
          <w:spacing w:val="20"/>
        </w:rPr>
        <w:t xml:space="preserve"> </w:t>
      </w:r>
      <w:r w:rsidR="00B915C8">
        <w:rPr>
          <w:rFonts w:ascii="Trebuchet MS" w:hAnsi="Trebuchet MS"/>
          <w:spacing w:val="20"/>
        </w:rPr>
        <w:t xml:space="preserve">within </w:t>
      </w:r>
      <w:r w:rsidR="00512C75" w:rsidRPr="0062291F">
        <w:rPr>
          <w:rFonts w:ascii="Trebuchet MS" w:hAnsi="Trebuchet MS"/>
          <w:spacing w:val="20"/>
        </w:rPr>
        <w:t xml:space="preserve">the </w:t>
      </w:r>
      <w:r w:rsidRPr="0062291F">
        <w:rPr>
          <w:rFonts w:ascii="Trebuchet MS" w:hAnsi="Trebuchet MS"/>
          <w:spacing w:val="20"/>
        </w:rPr>
        <w:t>framework</w:t>
      </w:r>
      <w:r w:rsidR="00512C75" w:rsidRPr="0062291F">
        <w:rPr>
          <w:rFonts w:ascii="Trebuchet MS" w:hAnsi="Trebuchet MS"/>
          <w:spacing w:val="20"/>
        </w:rPr>
        <w:t xml:space="preserve"> of voting to elect </w:t>
      </w:r>
      <w:r>
        <w:rPr>
          <w:rFonts w:ascii="Trebuchet MS" w:hAnsi="Trebuchet MS"/>
          <w:spacing w:val="20"/>
        </w:rPr>
        <w:t>certain persons to hold certain offices, which may be public or private</w:t>
      </w:r>
      <w:r w:rsidR="00512C75" w:rsidRPr="0062291F">
        <w:rPr>
          <w:rFonts w:ascii="Trebuchet MS" w:hAnsi="Trebuchet MS"/>
          <w:spacing w:val="20"/>
        </w:rPr>
        <w:t xml:space="preserve">. Black’s Law Dictionary defines ‘election’ thus: </w:t>
      </w:r>
    </w:p>
    <w:p w14:paraId="6C279079" w14:textId="77777777" w:rsidR="00512C75" w:rsidRPr="0062291F" w:rsidRDefault="00512C75" w:rsidP="000C3E2D">
      <w:pPr>
        <w:spacing w:line="480" w:lineRule="auto"/>
        <w:ind w:left="1440"/>
        <w:contextualSpacing/>
        <w:jc w:val="both"/>
        <w:rPr>
          <w:rFonts w:ascii="Trebuchet MS" w:hAnsi="Trebuchet MS"/>
          <w:spacing w:val="20"/>
        </w:rPr>
      </w:pPr>
      <w:r w:rsidRPr="0062291F">
        <w:rPr>
          <w:rFonts w:ascii="Trebuchet MS" w:hAnsi="Trebuchet MS"/>
          <w:spacing w:val="20"/>
        </w:rPr>
        <w:t>“</w:t>
      </w:r>
      <w:r w:rsidRPr="0076375D">
        <w:rPr>
          <w:rFonts w:ascii="Trebuchet MS" w:hAnsi="Trebuchet MS"/>
          <w:i/>
          <w:spacing w:val="20"/>
        </w:rPr>
        <w:t>3</w:t>
      </w:r>
      <w:r w:rsidRPr="0062291F">
        <w:rPr>
          <w:rFonts w:ascii="Trebuchet MS" w:hAnsi="Trebuchet MS"/>
          <w:b/>
          <w:i/>
          <w:spacing w:val="20"/>
        </w:rPr>
        <w:t>.</w:t>
      </w:r>
      <w:r w:rsidRPr="0076375D">
        <w:rPr>
          <w:rFonts w:ascii="Trebuchet MS" w:hAnsi="Trebuchet MS"/>
          <w:i/>
          <w:spacing w:val="20"/>
        </w:rPr>
        <w:t xml:space="preserve"> The process of selecting a person to occupy an office (usu. A public office), membership, award, or other title or status….</w:t>
      </w:r>
      <w:r w:rsidRPr="0062291F">
        <w:rPr>
          <w:rFonts w:ascii="Trebuchet MS" w:hAnsi="Trebuchet MS"/>
          <w:spacing w:val="20"/>
        </w:rPr>
        <w:t>”</w:t>
      </w:r>
      <w:r w:rsidRPr="0062291F">
        <w:rPr>
          <w:rStyle w:val="FootnoteReference"/>
          <w:rFonts w:ascii="Trebuchet MS" w:hAnsi="Trebuchet MS"/>
          <w:spacing w:val="20"/>
        </w:rPr>
        <w:footnoteReference w:id="7"/>
      </w:r>
    </w:p>
    <w:p w14:paraId="44DE60B3" w14:textId="77777777" w:rsidR="00512C75" w:rsidRPr="0062291F" w:rsidRDefault="00512C75" w:rsidP="000C3E2D">
      <w:pPr>
        <w:spacing w:line="480" w:lineRule="auto"/>
        <w:contextualSpacing/>
        <w:jc w:val="both"/>
        <w:rPr>
          <w:rFonts w:ascii="Trebuchet MS" w:hAnsi="Trebuchet MS"/>
          <w:spacing w:val="20"/>
          <w:sz w:val="16"/>
          <w:szCs w:val="16"/>
        </w:rPr>
      </w:pPr>
    </w:p>
    <w:p w14:paraId="22309EDA" w14:textId="7AC092FC" w:rsidR="00512C75" w:rsidRPr="0062291F" w:rsidRDefault="00512C75" w:rsidP="000C3E2D">
      <w:pPr>
        <w:spacing w:line="480" w:lineRule="auto"/>
        <w:contextualSpacing/>
        <w:jc w:val="both"/>
        <w:rPr>
          <w:rFonts w:ascii="Trebuchet MS" w:hAnsi="Trebuchet MS"/>
          <w:spacing w:val="20"/>
        </w:rPr>
      </w:pPr>
      <w:r w:rsidRPr="0062291F">
        <w:rPr>
          <w:rFonts w:ascii="Trebuchet MS" w:hAnsi="Trebuchet MS"/>
          <w:spacing w:val="20"/>
        </w:rPr>
        <w:t xml:space="preserve">In the case of </w:t>
      </w:r>
      <w:r w:rsidRPr="0062291F">
        <w:rPr>
          <w:rFonts w:ascii="Trebuchet MS" w:hAnsi="Trebuchet MS"/>
          <w:b/>
          <w:i/>
          <w:spacing w:val="20"/>
        </w:rPr>
        <w:t>Ojukwu v. Obasanjo, Edozie, JSC</w:t>
      </w:r>
      <w:r w:rsidRPr="0062291F">
        <w:rPr>
          <w:rFonts w:ascii="Trebuchet MS" w:hAnsi="Trebuchet MS"/>
          <w:spacing w:val="20"/>
        </w:rPr>
        <w:t xml:space="preserve"> </w:t>
      </w:r>
      <w:r w:rsidR="002D7939">
        <w:rPr>
          <w:rFonts w:ascii="Trebuchet MS" w:hAnsi="Trebuchet MS"/>
          <w:spacing w:val="20"/>
        </w:rPr>
        <w:t>attempted to define the word</w:t>
      </w:r>
      <w:r w:rsidRPr="0062291F">
        <w:rPr>
          <w:rFonts w:ascii="Trebuchet MS" w:hAnsi="Trebuchet MS"/>
          <w:spacing w:val="20"/>
        </w:rPr>
        <w:t xml:space="preserve"> ‘election’ thus:</w:t>
      </w:r>
    </w:p>
    <w:p w14:paraId="6FCF4EFE" w14:textId="3EBDCCA6" w:rsidR="00512C75" w:rsidRDefault="00512C75" w:rsidP="000C3E2D">
      <w:pPr>
        <w:spacing w:line="480" w:lineRule="auto"/>
        <w:ind w:left="1440"/>
        <w:contextualSpacing/>
        <w:jc w:val="both"/>
        <w:rPr>
          <w:rFonts w:ascii="Trebuchet MS" w:hAnsi="Trebuchet MS"/>
          <w:spacing w:val="20"/>
        </w:rPr>
      </w:pPr>
      <w:r w:rsidRPr="0062291F">
        <w:rPr>
          <w:rFonts w:ascii="Trebuchet MS" w:hAnsi="Trebuchet MS"/>
          <w:spacing w:val="20"/>
        </w:rPr>
        <w:t>“</w:t>
      </w:r>
      <w:r w:rsidRPr="002461DB">
        <w:rPr>
          <w:rFonts w:ascii="Trebuchet MS" w:hAnsi="Trebuchet MS"/>
          <w:i/>
          <w:spacing w:val="20"/>
        </w:rPr>
        <w:t>I am of the view of that the word ‘election’ in the context in which it is used in section 137(1)(b) of the Constitution means the process of</w:t>
      </w:r>
      <w:r w:rsidRPr="0062291F">
        <w:rPr>
          <w:rFonts w:ascii="Trebuchet MS" w:hAnsi="Trebuchet MS"/>
          <w:spacing w:val="20"/>
        </w:rPr>
        <w:t xml:space="preserve"> </w:t>
      </w:r>
      <w:r w:rsidRPr="00BC6E1C">
        <w:rPr>
          <w:rFonts w:ascii="Trebuchet MS" w:hAnsi="Trebuchet MS"/>
          <w:i/>
          <w:spacing w:val="20"/>
        </w:rPr>
        <w:t>choosing by popular votes a candidate for a political office in a democratic system of government</w:t>
      </w:r>
      <w:r w:rsidRPr="00BC6E1C">
        <w:rPr>
          <w:rFonts w:ascii="Trebuchet MS" w:hAnsi="Trebuchet MS"/>
          <w:spacing w:val="20"/>
        </w:rPr>
        <w:t>.</w:t>
      </w:r>
      <w:r w:rsidRPr="0062291F">
        <w:rPr>
          <w:rFonts w:ascii="Trebuchet MS" w:hAnsi="Trebuchet MS"/>
          <w:spacing w:val="20"/>
        </w:rPr>
        <w:t>”</w:t>
      </w:r>
      <w:r w:rsidRPr="0062291F">
        <w:rPr>
          <w:rStyle w:val="FootnoteReference"/>
          <w:rFonts w:ascii="Trebuchet MS" w:hAnsi="Trebuchet MS"/>
          <w:spacing w:val="20"/>
        </w:rPr>
        <w:footnoteReference w:id="8"/>
      </w:r>
      <w:r>
        <w:rPr>
          <w:rFonts w:ascii="Trebuchet MS" w:hAnsi="Trebuchet MS"/>
          <w:spacing w:val="20"/>
        </w:rPr>
        <w:t xml:space="preserve">  </w:t>
      </w:r>
    </w:p>
    <w:p w14:paraId="7F165B28" w14:textId="77777777" w:rsidR="00512C75" w:rsidRPr="00480E4D" w:rsidRDefault="00512C75" w:rsidP="000C3E2D">
      <w:pPr>
        <w:spacing w:line="480" w:lineRule="auto"/>
        <w:contextualSpacing/>
        <w:jc w:val="both"/>
        <w:rPr>
          <w:rFonts w:ascii="Trebuchet MS" w:hAnsi="Trebuchet MS"/>
          <w:spacing w:val="20"/>
          <w:sz w:val="16"/>
          <w:szCs w:val="16"/>
        </w:rPr>
      </w:pPr>
    </w:p>
    <w:p w14:paraId="3B7A75E9" w14:textId="3F09DE61" w:rsidR="003F0393" w:rsidRDefault="00D259B7" w:rsidP="000C3E2D">
      <w:pPr>
        <w:spacing w:line="480" w:lineRule="auto"/>
        <w:contextualSpacing/>
        <w:jc w:val="both"/>
        <w:rPr>
          <w:rFonts w:ascii="Trebuchet MS" w:hAnsi="Trebuchet MS"/>
          <w:spacing w:val="20"/>
        </w:rPr>
      </w:pPr>
      <w:r>
        <w:rPr>
          <w:rFonts w:ascii="Trebuchet MS" w:hAnsi="Trebuchet MS"/>
          <w:spacing w:val="20"/>
        </w:rPr>
        <w:t>Further, i</w:t>
      </w:r>
      <w:r w:rsidR="003F0393">
        <w:rPr>
          <w:rFonts w:ascii="Trebuchet MS" w:hAnsi="Trebuchet MS"/>
          <w:spacing w:val="20"/>
        </w:rPr>
        <w:t xml:space="preserve">n the case of </w:t>
      </w:r>
      <w:r w:rsidR="003F0393" w:rsidRPr="00E77DE0">
        <w:rPr>
          <w:rFonts w:ascii="Trebuchet MS" w:hAnsi="Trebuchet MS"/>
          <w:b/>
          <w:spacing w:val="20"/>
        </w:rPr>
        <w:t>I.N.E.C. v. Ray</w:t>
      </w:r>
      <w:r w:rsidR="00227127">
        <w:rPr>
          <w:rFonts w:ascii="Trebuchet MS" w:hAnsi="Trebuchet MS"/>
          <w:b/>
          <w:spacing w:val="20"/>
        </w:rPr>
        <w:t>,</w:t>
      </w:r>
      <w:r w:rsidR="003F0393" w:rsidRPr="00E77DE0">
        <w:rPr>
          <w:rFonts w:ascii="Trebuchet MS" w:hAnsi="Trebuchet MS"/>
          <w:b/>
          <w:spacing w:val="20"/>
        </w:rPr>
        <w:t xml:space="preserve"> Ogunbiyi, JCA</w:t>
      </w:r>
      <w:r w:rsidR="003F0393">
        <w:rPr>
          <w:rFonts w:ascii="Trebuchet MS" w:hAnsi="Trebuchet MS"/>
          <w:spacing w:val="20"/>
        </w:rPr>
        <w:t xml:space="preserve"> (as he then was) </w:t>
      </w:r>
      <w:r>
        <w:rPr>
          <w:rFonts w:ascii="Trebuchet MS" w:hAnsi="Trebuchet MS"/>
          <w:spacing w:val="20"/>
        </w:rPr>
        <w:t xml:space="preserve">defined </w:t>
      </w:r>
      <w:r w:rsidR="003F0393">
        <w:rPr>
          <w:rFonts w:ascii="Trebuchet MS" w:hAnsi="Trebuchet MS"/>
          <w:spacing w:val="20"/>
        </w:rPr>
        <w:t>‘election’ as follows”:</w:t>
      </w:r>
    </w:p>
    <w:p w14:paraId="6C652672" w14:textId="2A99ECFB" w:rsidR="003F0393" w:rsidRDefault="00E50EBB" w:rsidP="000C3E2D">
      <w:pPr>
        <w:spacing w:line="480" w:lineRule="auto"/>
        <w:ind w:left="1440"/>
        <w:contextualSpacing/>
        <w:jc w:val="both"/>
        <w:rPr>
          <w:rFonts w:ascii="Trebuchet MS" w:hAnsi="Trebuchet MS"/>
          <w:spacing w:val="20"/>
        </w:rPr>
      </w:pPr>
      <w:r>
        <w:rPr>
          <w:rFonts w:ascii="Trebuchet MS" w:hAnsi="Trebuchet MS"/>
          <w:spacing w:val="20"/>
        </w:rPr>
        <w:t>“</w:t>
      </w:r>
      <w:r w:rsidR="003F0393">
        <w:rPr>
          <w:rFonts w:ascii="Trebuchet MS" w:hAnsi="Trebuchet MS"/>
          <w:spacing w:val="20"/>
        </w:rPr>
        <w:t>It is trite law that the</w:t>
      </w:r>
      <w:r>
        <w:rPr>
          <w:rFonts w:ascii="Trebuchet MS" w:hAnsi="Trebuchet MS"/>
          <w:spacing w:val="20"/>
        </w:rPr>
        <w:t xml:space="preserve"> concept of “election” denotes a process constituting accreditation, voting, collation, recording on all relevant INEC Forms and declaration of result. The collation of all results of the polling units making up the wards and the declaration of results are therefore constituent elements of an election as known to law.”</w:t>
      </w:r>
      <w:r w:rsidR="00227127">
        <w:rPr>
          <w:rStyle w:val="FootnoteReference"/>
          <w:rFonts w:ascii="Trebuchet MS" w:hAnsi="Trebuchet MS"/>
          <w:spacing w:val="20"/>
        </w:rPr>
        <w:footnoteReference w:id="9"/>
      </w:r>
    </w:p>
    <w:p w14:paraId="73D15648" w14:textId="77777777" w:rsidR="003F0393" w:rsidRDefault="003F0393" w:rsidP="000C3E2D">
      <w:pPr>
        <w:spacing w:line="480" w:lineRule="auto"/>
        <w:contextualSpacing/>
        <w:jc w:val="both"/>
        <w:rPr>
          <w:rFonts w:ascii="Trebuchet MS" w:hAnsi="Trebuchet MS"/>
          <w:spacing w:val="20"/>
        </w:rPr>
      </w:pPr>
    </w:p>
    <w:p w14:paraId="17B41B86" w14:textId="49CEE765" w:rsidR="00512C75" w:rsidRDefault="00D259B7" w:rsidP="000C3E2D">
      <w:pPr>
        <w:spacing w:line="480" w:lineRule="auto"/>
        <w:contextualSpacing/>
        <w:jc w:val="both"/>
        <w:rPr>
          <w:rFonts w:ascii="Trebuchet MS" w:hAnsi="Trebuchet MS"/>
          <w:spacing w:val="20"/>
        </w:rPr>
      </w:pPr>
      <w:r>
        <w:rPr>
          <w:rFonts w:ascii="Trebuchet MS" w:hAnsi="Trebuchet MS"/>
          <w:spacing w:val="20"/>
        </w:rPr>
        <w:t>Similarly,</w:t>
      </w:r>
      <w:r w:rsidR="003F0393">
        <w:rPr>
          <w:rFonts w:ascii="Trebuchet MS" w:hAnsi="Trebuchet MS"/>
          <w:spacing w:val="20"/>
        </w:rPr>
        <w:t xml:space="preserve"> the C</w:t>
      </w:r>
      <w:r w:rsidR="00512C75">
        <w:rPr>
          <w:rFonts w:ascii="Trebuchet MS" w:hAnsi="Trebuchet MS"/>
          <w:spacing w:val="20"/>
        </w:rPr>
        <w:t>ourt of Appeal</w:t>
      </w:r>
      <w:r w:rsidR="002D7939">
        <w:rPr>
          <w:rFonts w:ascii="Trebuchet MS" w:hAnsi="Trebuchet MS"/>
          <w:spacing w:val="20"/>
        </w:rPr>
        <w:t xml:space="preserve"> in the case</w:t>
      </w:r>
      <w:r w:rsidR="00512C75">
        <w:rPr>
          <w:rFonts w:ascii="Trebuchet MS" w:hAnsi="Trebuchet MS"/>
          <w:spacing w:val="20"/>
        </w:rPr>
        <w:t xml:space="preserve"> </w:t>
      </w:r>
      <w:r w:rsidR="003F0393">
        <w:rPr>
          <w:rFonts w:ascii="Trebuchet MS" w:hAnsi="Trebuchet MS"/>
          <w:spacing w:val="20"/>
        </w:rPr>
        <w:t xml:space="preserve">of </w:t>
      </w:r>
      <w:r w:rsidR="00512C75" w:rsidRPr="00A154FD">
        <w:rPr>
          <w:rFonts w:ascii="Trebuchet MS" w:hAnsi="Trebuchet MS"/>
          <w:b/>
          <w:i/>
          <w:spacing w:val="20"/>
        </w:rPr>
        <w:t xml:space="preserve">Ogboru v. Uduaghan </w:t>
      </w:r>
      <w:r w:rsidR="002D7939">
        <w:rPr>
          <w:rFonts w:ascii="Trebuchet MS" w:hAnsi="Trebuchet MS"/>
          <w:b/>
          <w:i/>
          <w:spacing w:val="20"/>
        </w:rPr>
        <w:t>per</w:t>
      </w:r>
      <w:r w:rsidR="00512C75" w:rsidRPr="00A154FD">
        <w:rPr>
          <w:rFonts w:ascii="Trebuchet MS" w:hAnsi="Trebuchet MS"/>
          <w:b/>
          <w:i/>
          <w:spacing w:val="20"/>
        </w:rPr>
        <w:t xml:space="preserve"> Dongban-Mensem, JCA</w:t>
      </w:r>
      <w:r w:rsidR="00512C75">
        <w:rPr>
          <w:rFonts w:ascii="Trebuchet MS" w:hAnsi="Trebuchet MS"/>
          <w:spacing w:val="20"/>
        </w:rPr>
        <w:t xml:space="preserve"> said thus:</w:t>
      </w:r>
    </w:p>
    <w:p w14:paraId="73909F3F" w14:textId="218FEDC0" w:rsidR="00512C75" w:rsidRDefault="00512C75" w:rsidP="000C3E2D">
      <w:pPr>
        <w:spacing w:line="480" w:lineRule="auto"/>
        <w:ind w:left="1440"/>
        <w:contextualSpacing/>
        <w:jc w:val="both"/>
        <w:rPr>
          <w:rFonts w:ascii="Trebuchet MS" w:hAnsi="Trebuchet MS"/>
          <w:spacing w:val="20"/>
        </w:rPr>
      </w:pPr>
      <w:r>
        <w:rPr>
          <w:rFonts w:ascii="Trebuchet MS" w:hAnsi="Trebuchet MS"/>
          <w:spacing w:val="20"/>
        </w:rPr>
        <w:t>“</w:t>
      </w:r>
      <w:r w:rsidRPr="00A154FD">
        <w:rPr>
          <w:rFonts w:ascii="Trebuchet MS" w:hAnsi="Trebuchet MS"/>
          <w:i/>
          <w:spacing w:val="20"/>
        </w:rPr>
        <w:t>The law, as we understand it, is that the word ‘election’ is a generic term; a process which embraces the entire gamut of activities ranging from accreditation, voting, collation to recording on all relevant INEC Forms and declaration of results…. Voting is, thus, a species of the genus, which is election…. Casting of votes alone, therefore, does not constitute election</w:t>
      </w:r>
      <w:r>
        <w:rPr>
          <w:rFonts w:ascii="Trebuchet MS" w:hAnsi="Trebuchet MS"/>
          <w:spacing w:val="20"/>
        </w:rPr>
        <w:t>.”</w:t>
      </w:r>
      <w:r>
        <w:rPr>
          <w:rStyle w:val="FootnoteReference"/>
          <w:rFonts w:ascii="Trebuchet MS" w:hAnsi="Trebuchet MS"/>
          <w:spacing w:val="20"/>
        </w:rPr>
        <w:footnoteReference w:id="10"/>
      </w:r>
    </w:p>
    <w:p w14:paraId="0E3A1D3D" w14:textId="77777777" w:rsidR="00512C75" w:rsidRDefault="00512C75" w:rsidP="000C3E2D">
      <w:pPr>
        <w:spacing w:line="480" w:lineRule="auto"/>
        <w:contextualSpacing/>
        <w:jc w:val="both"/>
        <w:rPr>
          <w:rFonts w:ascii="Trebuchet MS" w:hAnsi="Trebuchet MS"/>
          <w:spacing w:val="20"/>
        </w:rPr>
      </w:pPr>
    </w:p>
    <w:p w14:paraId="25C814DA" w14:textId="4B83CCF5" w:rsidR="00D259B7" w:rsidRPr="0062291F" w:rsidRDefault="00D259B7" w:rsidP="000C3E2D">
      <w:pPr>
        <w:spacing w:line="480" w:lineRule="auto"/>
        <w:contextualSpacing/>
        <w:jc w:val="both"/>
        <w:rPr>
          <w:rFonts w:ascii="Trebuchet MS" w:hAnsi="Trebuchet MS"/>
          <w:spacing w:val="20"/>
        </w:rPr>
      </w:pPr>
      <w:r>
        <w:rPr>
          <w:rFonts w:ascii="Trebuchet MS" w:hAnsi="Trebuchet MS"/>
          <w:spacing w:val="20"/>
        </w:rPr>
        <w:t xml:space="preserve">A look at </w:t>
      </w:r>
      <w:r w:rsidRPr="0062291F">
        <w:rPr>
          <w:rFonts w:ascii="Trebuchet MS" w:hAnsi="Trebuchet MS"/>
          <w:spacing w:val="20"/>
        </w:rPr>
        <w:t>section 156 of the Electoral Act, 2010</w:t>
      </w:r>
      <w:r w:rsidR="002D7939">
        <w:rPr>
          <w:rFonts w:ascii="Trebuchet MS" w:hAnsi="Trebuchet MS"/>
          <w:spacing w:val="20"/>
        </w:rPr>
        <w:t xml:space="preserve"> as amended</w:t>
      </w:r>
      <w:r>
        <w:rPr>
          <w:rFonts w:ascii="Trebuchet MS" w:hAnsi="Trebuchet MS"/>
          <w:spacing w:val="20"/>
        </w:rPr>
        <w:t>, defines</w:t>
      </w:r>
      <w:r w:rsidRPr="0062291F">
        <w:rPr>
          <w:rFonts w:ascii="Trebuchet MS" w:hAnsi="Trebuchet MS"/>
          <w:spacing w:val="20"/>
        </w:rPr>
        <w:t xml:space="preserve"> </w:t>
      </w:r>
      <w:r>
        <w:rPr>
          <w:rFonts w:ascii="Trebuchet MS" w:hAnsi="Trebuchet MS"/>
          <w:spacing w:val="20"/>
        </w:rPr>
        <w:t xml:space="preserve">the word </w:t>
      </w:r>
      <w:r w:rsidRPr="0062291F">
        <w:rPr>
          <w:rFonts w:ascii="Trebuchet MS" w:hAnsi="Trebuchet MS"/>
          <w:spacing w:val="20"/>
        </w:rPr>
        <w:t xml:space="preserve">‘election’ </w:t>
      </w:r>
      <w:r>
        <w:rPr>
          <w:rFonts w:ascii="Trebuchet MS" w:hAnsi="Trebuchet MS"/>
          <w:spacing w:val="20"/>
        </w:rPr>
        <w:t>to include a referendum. The said section states thus</w:t>
      </w:r>
      <w:r w:rsidRPr="0062291F">
        <w:rPr>
          <w:rFonts w:ascii="Trebuchet MS" w:hAnsi="Trebuchet MS"/>
          <w:spacing w:val="20"/>
        </w:rPr>
        <w:t>:</w:t>
      </w:r>
    </w:p>
    <w:p w14:paraId="07D4B0B0" w14:textId="77777777" w:rsidR="00D259B7" w:rsidRPr="0062291F" w:rsidRDefault="00D259B7" w:rsidP="000C3E2D">
      <w:pPr>
        <w:spacing w:line="480" w:lineRule="auto"/>
        <w:ind w:left="1440"/>
        <w:contextualSpacing/>
        <w:jc w:val="both"/>
        <w:rPr>
          <w:rFonts w:ascii="Trebuchet MS" w:hAnsi="Trebuchet MS"/>
          <w:spacing w:val="20"/>
        </w:rPr>
      </w:pPr>
      <w:r w:rsidRPr="0062291F">
        <w:rPr>
          <w:rFonts w:ascii="Trebuchet MS" w:hAnsi="Trebuchet MS"/>
          <w:spacing w:val="20"/>
        </w:rPr>
        <w:t>“‘</w:t>
      </w:r>
      <w:r w:rsidRPr="0062291F">
        <w:rPr>
          <w:rFonts w:ascii="Trebuchet MS" w:hAnsi="Trebuchet MS"/>
          <w:b/>
          <w:i/>
          <w:spacing w:val="20"/>
        </w:rPr>
        <w:t>Election’ means any election held under this Act and includes a referendum.</w:t>
      </w:r>
      <w:r w:rsidRPr="0062291F">
        <w:rPr>
          <w:rFonts w:ascii="Trebuchet MS" w:hAnsi="Trebuchet MS"/>
          <w:spacing w:val="20"/>
        </w:rPr>
        <w:t>”</w:t>
      </w:r>
    </w:p>
    <w:p w14:paraId="058AF9FA" w14:textId="77777777" w:rsidR="00D259B7" w:rsidRPr="00480E4D" w:rsidRDefault="00D259B7" w:rsidP="000C3E2D">
      <w:pPr>
        <w:spacing w:line="480" w:lineRule="auto"/>
        <w:contextualSpacing/>
        <w:rPr>
          <w:rFonts w:ascii="Trebuchet MS" w:hAnsi="Trebuchet MS"/>
          <w:spacing w:val="20"/>
          <w:sz w:val="16"/>
          <w:szCs w:val="16"/>
        </w:rPr>
      </w:pPr>
    </w:p>
    <w:p w14:paraId="1260C73C" w14:textId="693EEDA9" w:rsidR="00D259B7" w:rsidRDefault="00D259B7" w:rsidP="000C3E2D">
      <w:pPr>
        <w:spacing w:line="480" w:lineRule="auto"/>
        <w:contextualSpacing/>
        <w:jc w:val="both"/>
        <w:rPr>
          <w:rFonts w:ascii="Trebuchet MS" w:hAnsi="Trebuchet MS"/>
          <w:spacing w:val="20"/>
        </w:rPr>
      </w:pPr>
      <w:r w:rsidRPr="0062291F">
        <w:rPr>
          <w:rFonts w:ascii="Trebuchet MS" w:hAnsi="Trebuchet MS"/>
          <w:spacing w:val="20"/>
        </w:rPr>
        <w:t>The inclusion of ‘referendum’</w:t>
      </w:r>
      <w:r>
        <w:rPr>
          <w:rStyle w:val="FootnoteReference"/>
          <w:rFonts w:ascii="Trebuchet MS" w:hAnsi="Trebuchet MS"/>
          <w:spacing w:val="20"/>
        </w:rPr>
        <w:footnoteReference w:id="11"/>
      </w:r>
      <w:r w:rsidRPr="0062291F">
        <w:rPr>
          <w:rFonts w:ascii="Trebuchet MS" w:hAnsi="Trebuchet MS"/>
          <w:spacing w:val="20"/>
        </w:rPr>
        <w:t xml:space="preserve"> in the definition of election further</w:t>
      </w:r>
      <w:r>
        <w:rPr>
          <w:rFonts w:ascii="Trebuchet MS" w:hAnsi="Trebuchet MS"/>
          <w:spacing w:val="20"/>
        </w:rPr>
        <w:t xml:space="preserve"> buttresses the fact that elections are the lifeline of democracy</w:t>
      </w:r>
      <w:r w:rsidR="002D7939">
        <w:rPr>
          <w:rFonts w:ascii="Trebuchet MS" w:hAnsi="Trebuchet MS"/>
          <w:spacing w:val="20"/>
        </w:rPr>
        <w:t xml:space="preserve"> and can also be utilized in the determination of policy options</w:t>
      </w:r>
      <w:r>
        <w:rPr>
          <w:rFonts w:ascii="Trebuchet MS" w:hAnsi="Trebuchet MS"/>
          <w:spacing w:val="20"/>
        </w:rPr>
        <w:t>.</w:t>
      </w:r>
    </w:p>
    <w:p w14:paraId="2E241A5C" w14:textId="77777777" w:rsidR="00D259B7" w:rsidRDefault="00D259B7" w:rsidP="000C3E2D">
      <w:pPr>
        <w:spacing w:line="480" w:lineRule="auto"/>
        <w:contextualSpacing/>
        <w:jc w:val="both"/>
        <w:rPr>
          <w:rFonts w:ascii="Trebuchet MS" w:hAnsi="Trebuchet MS"/>
          <w:spacing w:val="20"/>
        </w:rPr>
      </w:pPr>
    </w:p>
    <w:p w14:paraId="66806F9F" w14:textId="6EB52F23" w:rsidR="00512C75" w:rsidRDefault="005F1BFC" w:rsidP="000C3E2D">
      <w:pPr>
        <w:spacing w:line="480" w:lineRule="auto"/>
        <w:contextualSpacing/>
        <w:jc w:val="both"/>
        <w:rPr>
          <w:rFonts w:ascii="Trebuchet MS" w:hAnsi="Trebuchet MS"/>
          <w:spacing w:val="20"/>
        </w:rPr>
      </w:pPr>
      <w:r>
        <w:rPr>
          <w:rFonts w:ascii="Trebuchet MS" w:hAnsi="Trebuchet MS"/>
          <w:spacing w:val="20"/>
        </w:rPr>
        <w:t>The pertinent thing worthy of note</w:t>
      </w:r>
      <w:r w:rsidR="003A12A8">
        <w:rPr>
          <w:rFonts w:ascii="Trebuchet MS" w:hAnsi="Trebuchet MS"/>
          <w:spacing w:val="20"/>
        </w:rPr>
        <w:t xml:space="preserve"> and common</w:t>
      </w:r>
      <w:r>
        <w:rPr>
          <w:rFonts w:ascii="Trebuchet MS" w:hAnsi="Trebuchet MS"/>
          <w:spacing w:val="20"/>
        </w:rPr>
        <w:t xml:space="preserve"> amongst all the definitions that have been proffered above, inclusive of the judicial authorities</w:t>
      </w:r>
      <w:r w:rsidR="00512C75">
        <w:rPr>
          <w:rFonts w:ascii="Trebuchet MS" w:hAnsi="Trebuchet MS"/>
          <w:spacing w:val="20"/>
        </w:rPr>
        <w:t xml:space="preserve"> is that </w:t>
      </w:r>
      <w:r w:rsidR="003A12A8">
        <w:rPr>
          <w:rFonts w:ascii="Trebuchet MS" w:hAnsi="Trebuchet MS"/>
          <w:spacing w:val="20"/>
        </w:rPr>
        <w:t>the word</w:t>
      </w:r>
      <w:r w:rsidR="00512C75">
        <w:rPr>
          <w:rFonts w:ascii="Trebuchet MS" w:hAnsi="Trebuchet MS"/>
          <w:spacing w:val="20"/>
        </w:rPr>
        <w:t xml:space="preserve"> ‘election’ </w:t>
      </w:r>
      <w:r w:rsidR="003A12A8">
        <w:rPr>
          <w:rFonts w:ascii="Trebuchet MS" w:hAnsi="Trebuchet MS"/>
          <w:spacing w:val="20"/>
        </w:rPr>
        <w:t xml:space="preserve">involves </w:t>
      </w:r>
      <w:r w:rsidR="00512C75">
        <w:rPr>
          <w:rFonts w:ascii="Trebuchet MS" w:hAnsi="Trebuchet MS"/>
          <w:spacing w:val="20"/>
        </w:rPr>
        <w:t>a process</w:t>
      </w:r>
      <w:r w:rsidR="003A12A8">
        <w:rPr>
          <w:rFonts w:ascii="Trebuchet MS" w:hAnsi="Trebuchet MS"/>
          <w:spacing w:val="20"/>
        </w:rPr>
        <w:t xml:space="preserve"> of choosing person(s) to hold certain offices</w:t>
      </w:r>
      <w:r w:rsidR="00512C75">
        <w:rPr>
          <w:rFonts w:ascii="Trebuchet MS" w:hAnsi="Trebuchet MS"/>
          <w:spacing w:val="20"/>
        </w:rPr>
        <w:t xml:space="preserve">. This is more in tandem with the description of ‘electoral process’. </w:t>
      </w:r>
      <w:r w:rsidR="002D7939">
        <w:rPr>
          <w:rFonts w:ascii="Trebuchet MS" w:hAnsi="Trebuchet MS"/>
          <w:spacing w:val="20"/>
        </w:rPr>
        <w:t>Therefore,</w:t>
      </w:r>
      <w:r w:rsidR="00C316C9">
        <w:rPr>
          <w:rFonts w:ascii="Trebuchet MS" w:hAnsi="Trebuchet MS"/>
          <w:spacing w:val="20"/>
        </w:rPr>
        <w:t xml:space="preserve"> </w:t>
      </w:r>
      <w:r w:rsidR="002D7939">
        <w:rPr>
          <w:rFonts w:ascii="Trebuchet MS" w:hAnsi="Trebuchet MS"/>
          <w:spacing w:val="20"/>
        </w:rPr>
        <w:t>m</w:t>
      </w:r>
      <w:r w:rsidR="00512C75">
        <w:rPr>
          <w:rFonts w:ascii="Trebuchet MS" w:hAnsi="Trebuchet MS"/>
          <w:spacing w:val="20"/>
        </w:rPr>
        <w:t>erely casting a vote comes to naught if the votes cast are not</w:t>
      </w:r>
      <w:r w:rsidR="002D7939">
        <w:rPr>
          <w:rFonts w:ascii="Trebuchet MS" w:hAnsi="Trebuchet MS"/>
          <w:spacing w:val="20"/>
        </w:rPr>
        <w:t xml:space="preserve"> only</w:t>
      </w:r>
      <w:r w:rsidR="00512C75">
        <w:rPr>
          <w:rFonts w:ascii="Trebuchet MS" w:hAnsi="Trebuchet MS"/>
          <w:spacing w:val="20"/>
        </w:rPr>
        <w:t xml:space="preserve"> counted, collated and results declared</w:t>
      </w:r>
      <w:r w:rsidR="002D7939">
        <w:rPr>
          <w:rFonts w:ascii="Trebuchet MS" w:hAnsi="Trebuchet MS"/>
          <w:spacing w:val="20"/>
        </w:rPr>
        <w:t xml:space="preserve"> but disputes arising from the process are not j</w:t>
      </w:r>
      <w:r w:rsidR="00EE5DDA">
        <w:rPr>
          <w:rFonts w:ascii="Trebuchet MS" w:hAnsi="Trebuchet MS"/>
          <w:spacing w:val="20"/>
        </w:rPr>
        <w:t>udicially settled</w:t>
      </w:r>
      <w:r w:rsidR="00512C75">
        <w:rPr>
          <w:rFonts w:ascii="Trebuchet MS" w:hAnsi="Trebuchet MS"/>
          <w:spacing w:val="20"/>
        </w:rPr>
        <w:t>.</w:t>
      </w:r>
      <w:r w:rsidR="00EE5DDA">
        <w:rPr>
          <w:rFonts w:ascii="Trebuchet MS" w:hAnsi="Trebuchet MS"/>
          <w:spacing w:val="20"/>
        </w:rPr>
        <w:t xml:space="preserve"> Furthermore, the freeness and fairness of collection is also beginning to be questioned in the midst of associated intimidating atmosphere under which it is conducted. A</w:t>
      </w:r>
      <w:r w:rsidR="008A0B03">
        <w:rPr>
          <w:rFonts w:ascii="Trebuchet MS" w:hAnsi="Trebuchet MS"/>
          <w:spacing w:val="20"/>
        </w:rPr>
        <w:t xml:space="preserve"> </w:t>
      </w:r>
      <w:r w:rsidR="00EE5DDA">
        <w:rPr>
          <w:rFonts w:ascii="Trebuchet MS" w:hAnsi="Trebuchet MS"/>
          <w:spacing w:val="20"/>
        </w:rPr>
        <w:t xml:space="preserve">good example is the recent Governorship election contested in Ekiti State of Nigeria on Saturday, the </w:t>
      </w:r>
      <w:r w:rsidR="009D6A0F">
        <w:rPr>
          <w:rFonts w:ascii="Trebuchet MS" w:hAnsi="Trebuchet MS"/>
          <w:spacing w:val="20"/>
        </w:rPr>
        <w:t>21</w:t>
      </w:r>
      <w:r w:rsidR="009D6A0F" w:rsidRPr="006D7E3B">
        <w:rPr>
          <w:rFonts w:ascii="Trebuchet MS" w:hAnsi="Trebuchet MS"/>
          <w:spacing w:val="20"/>
          <w:vertAlign w:val="superscript"/>
        </w:rPr>
        <w:t>st</w:t>
      </w:r>
      <w:r w:rsidR="009D6A0F">
        <w:rPr>
          <w:rFonts w:ascii="Trebuchet MS" w:hAnsi="Trebuchet MS"/>
          <w:spacing w:val="20"/>
        </w:rPr>
        <w:t xml:space="preserve"> </w:t>
      </w:r>
      <w:r w:rsidR="00EE5DDA">
        <w:rPr>
          <w:rFonts w:ascii="Trebuchet MS" w:hAnsi="Trebuchet MS"/>
          <w:spacing w:val="20"/>
        </w:rPr>
        <w:t xml:space="preserve">day of </w:t>
      </w:r>
      <w:r w:rsidR="009D6A0F">
        <w:rPr>
          <w:rFonts w:ascii="Trebuchet MS" w:hAnsi="Trebuchet MS"/>
          <w:spacing w:val="20"/>
        </w:rPr>
        <w:t>June, 2014.</w:t>
      </w:r>
      <w:r w:rsidR="00EE5DDA">
        <w:rPr>
          <w:rFonts w:ascii="Trebuchet MS" w:hAnsi="Trebuchet MS"/>
          <w:spacing w:val="20"/>
        </w:rPr>
        <w:t xml:space="preserve"> In that election, sympathisers of the candidate of All </w:t>
      </w:r>
      <w:r w:rsidR="00B4723D">
        <w:rPr>
          <w:rFonts w:ascii="Trebuchet MS" w:hAnsi="Trebuchet MS"/>
          <w:spacing w:val="20"/>
        </w:rPr>
        <w:t>P</w:t>
      </w:r>
      <w:r w:rsidR="00EE5DDA">
        <w:rPr>
          <w:rFonts w:ascii="Trebuchet MS" w:hAnsi="Trebuchet MS"/>
          <w:spacing w:val="20"/>
        </w:rPr>
        <w:t xml:space="preserve">rogressives </w:t>
      </w:r>
      <w:r w:rsidR="00B4723D">
        <w:rPr>
          <w:rFonts w:ascii="Trebuchet MS" w:hAnsi="Trebuchet MS"/>
          <w:spacing w:val="20"/>
        </w:rPr>
        <w:t>Congress</w:t>
      </w:r>
      <w:r w:rsidR="00EE5DDA">
        <w:rPr>
          <w:rFonts w:ascii="Trebuchet MS" w:hAnsi="Trebuchet MS"/>
          <w:spacing w:val="20"/>
        </w:rPr>
        <w:t xml:space="preserve"> were prevented from attending the political rally of the candidate prior to the election. The question of militarization also came to the fore where </w:t>
      </w:r>
      <w:r w:rsidR="00B4723D">
        <w:rPr>
          <w:rFonts w:ascii="Trebuchet MS" w:hAnsi="Trebuchet MS"/>
          <w:spacing w:val="20"/>
        </w:rPr>
        <w:t>members of the armed forced</w:t>
      </w:r>
      <w:r w:rsidR="00EE5DDA">
        <w:rPr>
          <w:rFonts w:ascii="Trebuchet MS" w:hAnsi="Trebuchet MS"/>
          <w:spacing w:val="20"/>
        </w:rPr>
        <w:t xml:space="preserve"> were</w:t>
      </w:r>
      <w:r w:rsidR="00C316C9">
        <w:rPr>
          <w:rFonts w:ascii="Trebuchet MS" w:hAnsi="Trebuchet MS"/>
          <w:spacing w:val="20"/>
        </w:rPr>
        <w:t>, contrary to the provisions of the Constitution,</w:t>
      </w:r>
      <w:r w:rsidR="00951835">
        <w:rPr>
          <w:rFonts w:ascii="Trebuchet MS" w:hAnsi="Trebuchet MS"/>
          <w:spacing w:val="20"/>
        </w:rPr>
        <w:t xml:space="preserve"> </w:t>
      </w:r>
      <w:r w:rsidR="00EE5DDA">
        <w:rPr>
          <w:rFonts w:ascii="Trebuchet MS" w:hAnsi="Trebuchet MS"/>
          <w:spacing w:val="20"/>
        </w:rPr>
        <w:t xml:space="preserve">deployed to </w:t>
      </w:r>
      <w:r w:rsidR="00C316C9">
        <w:rPr>
          <w:rFonts w:ascii="Trebuchet MS" w:hAnsi="Trebuchet MS"/>
          <w:spacing w:val="20"/>
        </w:rPr>
        <w:t>Ekiti State</w:t>
      </w:r>
      <w:r w:rsidR="007E55A8">
        <w:rPr>
          <w:rFonts w:ascii="Trebuchet MS" w:hAnsi="Trebuchet MS"/>
          <w:spacing w:val="20"/>
        </w:rPr>
        <w:t xml:space="preserve"> for the June 21, 2014 election</w:t>
      </w:r>
      <w:r w:rsidR="00EE5DDA">
        <w:rPr>
          <w:rFonts w:ascii="Trebuchet MS" w:hAnsi="Trebuchet MS"/>
          <w:spacing w:val="20"/>
        </w:rPr>
        <w:t>.</w:t>
      </w:r>
      <w:r w:rsidR="007E55A8">
        <w:rPr>
          <w:rStyle w:val="FootnoteReference"/>
          <w:rFonts w:ascii="Trebuchet MS" w:hAnsi="Trebuchet MS"/>
          <w:spacing w:val="20"/>
        </w:rPr>
        <w:footnoteReference w:id="12"/>
      </w:r>
      <w:r w:rsidR="00EE5DDA">
        <w:rPr>
          <w:rFonts w:ascii="Trebuchet MS" w:hAnsi="Trebuchet MS"/>
          <w:spacing w:val="20"/>
        </w:rPr>
        <w:t xml:space="preserve"> </w:t>
      </w:r>
      <w:r w:rsidR="00E424B0">
        <w:rPr>
          <w:rFonts w:ascii="Trebuchet MS" w:hAnsi="Trebuchet MS"/>
          <w:spacing w:val="20"/>
        </w:rPr>
        <w:t>Further, illegal imposition of c</w:t>
      </w:r>
      <w:r w:rsidR="00EE5DDA">
        <w:rPr>
          <w:rFonts w:ascii="Trebuchet MS" w:hAnsi="Trebuchet MS"/>
          <w:spacing w:val="20"/>
        </w:rPr>
        <w:t>u</w:t>
      </w:r>
      <w:r w:rsidR="00B4723D">
        <w:rPr>
          <w:rFonts w:ascii="Trebuchet MS" w:hAnsi="Trebuchet MS"/>
          <w:spacing w:val="20"/>
        </w:rPr>
        <w:t>r</w:t>
      </w:r>
      <w:r w:rsidR="00EE5DDA">
        <w:rPr>
          <w:rFonts w:ascii="Trebuchet MS" w:hAnsi="Trebuchet MS"/>
          <w:spacing w:val="20"/>
        </w:rPr>
        <w:t xml:space="preserve">few was </w:t>
      </w:r>
      <w:r w:rsidR="00E424B0">
        <w:rPr>
          <w:rFonts w:ascii="Trebuchet MS" w:hAnsi="Trebuchet MS"/>
          <w:spacing w:val="20"/>
        </w:rPr>
        <w:t>done</w:t>
      </w:r>
      <w:r w:rsidR="00EE5DDA">
        <w:rPr>
          <w:rFonts w:ascii="Trebuchet MS" w:hAnsi="Trebuchet MS"/>
          <w:spacing w:val="20"/>
        </w:rPr>
        <w:t xml:space="preserve"> by </w:t>
      </w:r>
      <w:r w:rsidR="006D7E3B">
        <w:rPr>
          <w:rFonts w:ascii="Trebuchet MS" w:hAnsi="Trebuchet MS"/>
          <w:spacing w:val="20"/>
        </w:rPr>
        <w:t xml:space="preserve">an arm of </w:t>
      </w:r>
      <w:r w:rsidR="00E424B0">
        <w:rPr>
          <w:rFonts w:ascii="Trebuchet MS" w:hAnsi="Trebuchet MS"/>
          <w:spacing w:val="20"/>
        </w:rPr>
        <w:t>the Federal Government</w:t>
      </w:r>
      <w:r w:rsidR="003F13D4">
        <w:rPr>
          <w:rFonts w:ascii="Trebuchet MS" w:hAnsi="Trebuchet MS"/>
          <w:spacing w:val="20"/>
        </w:rPr>
        <w:t xml:space="preserve"> that had no power to do so</w:t>
      </w:r>
      <w:r w:rsidR="00C53440">
        <w:rPr>
          <w:rStyle w:val="FootnoteReference"/>
          <w:rFonts w:ascii="Trebuchet MS" w:hAnsi="Trebuchet MS"/>
          <w:spacing w:val="20"/>
        </w:rPr>
        <w:footnoteReference w:id="13"/>
      </w:r>
      <w:r w:rsidR="00EE5DDA">
        <w:rPr>
          <w:rFonts w:ascii="Trebuchet MS" w:hAnsi="Trebuchet MS"/>
          <w:spacing w:val="20"/>
        </w:rPr>
        <w:t>,</w:t>
      </w:r>
      <w:r w:rsidR="003F13D4">
        <w:rPr>
          <w:rFonts w:ascii="Trebuchet MS" w:hAnsi="Trebuchet MS"/>
          <w:spacing w:val="20"/>
        </w:rPr>
        <w:t xml:space="preserve"> </w:t>
      </w:r>
      <w:r w:rsidR="00EE5DDA">
        <w:rPr>
          <w:rFonts w:ascii="Trebuchet MS" w:hAnsi="Trebuchet MS"/>
          <w:spacing w:val="20"/>
        </w:rPr>
        <w:t xml:space="preserve">thereby </w:t>
      </w:r>
      <w:r w:rsidR="00C53440">
        <w:rPr>
          <w:rFonts w:ascii="Trebuchet MS" w:hAnsi="Trebuchet MS"/>
          <w:spacing w:val="20"/>
        </w:rPr>
        <w:t xml:space="preserve">infringing on </w:t>
      </w:r>
      <w:r w:rsidR="00EE5DDA">
        <w:rPr>
          <w:rFonts w:ascii="Trebuchet MS" w:hAnsi="Trebuchet MS"/>
          <w:spacing w:val="20"/>
        </w:rPr>
        <w:t>the liberty of electorates.</w:t>
      </w:r>
      <w:r w:rsidR="009C79D8">
        <w:rPr>
          <w:rFonts w:ascii="Trebuchet MS" w:hAnsi="Trebuchet MS"/>
          <w:spacing w:val="20"/>
        </w:rPr>
        <w:t xml:space="preserve"> </w:t>
      </w:r>
      <w:r w:rsidR="00290894">
        <w:rPr>
          <w:rFonts w:ascii="Trebuchet MS" w:hAnsi="Trebuchet MS"/>
          <w:spacing w:val="20"/>
        </w:rPr>
        <w:t>Similar feat was repeated in the August 9, 2014 Gubernatorial election in Osun State which I personally experienced.</w:t>
      </w:r>
      <w:r w:rsidR="00EE5DDA">
        <w:rPr>
          <w:rFonts w:ascii="Trebuchet MS" w:hAnsi="Trebuchet MS"/>
          <w:spacing w:val="20"/>
        </w:rPr>
        <w:t xml:space="preserve"> </w:t>
      </w:r>
      <w:r w:rsidR="00EE5DDA" w:rsidRPr="006D7E3B">
        <w:rPr>
          <w:rFonts w:ascii="Trebuchet MS" w:hAnsi="Trebuchet MS"/>
          <w:spacing w:val="20"/>
        </w:rPr>
        <w:t>Infact and indeed</w:t>
      </w:r>
      <w:r w:rsidR="00EE5DDA" w:rsidRPr="00D00B54">
        <w:rPr>
          <w:rFonts w:ascii="Trebuchet MS" w:hAnsi="Trebuchet MS"/>
          <w:spacing w:val="20"/>
        </w:rPr>
        <w:t xml:space="preserve"> the State was completely knocked down. With this new trend, observers are now wondering whether it could be said that there was free and fair election in that context when the free will of the people c</w:t>
      </w:r>
      <w:r w:rsidR="00EE5DDA" w:rsidRPr="00BE2897">
        <w:rPr>
          <w:rFonts w:ascii="Trebuchet MS" w:hAnsi="Trebuchet MS"/>
          <w:spacing w:val="20"/>
        </w:rPr>
        <w:t xml:space="preserve">ould be said to have been sapped? </w:t>
      </w:r>
      <w:r w:rsidR="00960DDD" w:rsidRPr="008E582C">
        <w:rPr>
          <w:rFonts w:ascii="Trebuchet MS" w:hAnsi="Trebuchet MS"/>
          <w:spacing w:val="20"/>
        </w:rPr>
        <w:t>Is this not litigable to the extent that election dispute mechanism can be invited to pronounce upon?</w:t>
      </w:r>
    </w:p>
    <w:p w14:paraId="68470505" w14:textId="77777777" w:rsidR="00512C75" w:rsidRDefault="00512C75" w:rsidP="000C3E2D">
      <w:pPr>
        <w:spacing w:line="480" w:lineRule="auto"/>
        <w:contextualSpacing/>
        <w:jc w:val="both"/>
        <w:rPr>
          <w:rFonts w:ascii="Trebuchet MS" w:hAnsi="Trebuchet MS"/>
          <w:spacing w:val="20"/>
        </w:rPr>
      </w:pPr>
    </w:p>
    <w:p w14:paraId="07987DFE" w14:textId="2CBFA48D" w:rsidR="00512C75" w:rsidRDefault="00960DDD" w:rsidP="000C3E2D">
      <w:pPr>
        <w:spacing w:line="480" w:lineRule="auto"/>
        <w:contextualSpacing/>
        <w:jc w:val="both"/>
        <w:rPr>
          <w:rFonts w:ascii="Trebuchet MS" w:hAnsi="Trebuchet MS"/>
          <w:spacing w:val="20"/>
        </w:rPr>
      </w:pPr>
      <w:r>
        <w:rPr>
          <w:rFonts w:ascii="Trebuchet MS" w:hAnsi="Trebuchet MS"/>
          <w:spacing w:val="20"/>
        </w:rPr>
        <w:t xml:space="preserve">However, before further voyage, it is considered necessary </w:t>
      </w:r>
      <w:r w:rsidR="00C316C9">
        <w:rPr>
          <w:rFonts w:ascii="Trebuchet MS" w:hAnsi="Trebuchet MS"/>
          <w:spacing w:val="20"/>
        </w:rPr>
        <w:t>to briefly</w:t>
      </w:r>
      <w:r>
        <w:rPr>
          <w:rFonts w:ascii="Trebuchet MS" w:hAnsi="Trebuchet MS"/>
          <w:spacing w:val="20"/>
        </w:rPr>
        <w:t xml:space="preserve"> analyse the forms of election obtainable under the Nigerian political system.</w:t>
      </w:r>
      <w:r w:rsidR="00512C75">
        <w:rPr>
          <w:rFonts w:ascii="Trebuchet MS" w:hAnsi="Trebuchet MS"/>
          <w:spacing w:val="20"/>
        </w:rPr>
        <w:t xml:space="preserve"> </w:t>
      </w:r>
    </w:p>
    <w:p w14:paraId="00261F57" w14:textId="77777777" w:rsidR="00512C75" w:rsidRDefault="00512C75" w:rsidP="000C3E2D">
      <w:pPr>
        <w:spacing w:line="480" w:lineRule="auto"/>
        <w:contextualSpacing/>
        <w:jc w:val="both"/>
        <w:rPr>
          <w:rFonts w:ascii="Trebuchet MS" w:hAnsi="Trebuchet MS"/>
          <w:spacing w:val="20"/>
        </w:rPr>
      </w:pPr>
    </w:p>
    <w:p w14:paraId="2ADB6533" w14:textId="2E4ED2B1" w:rsidR="00512C75" w:rsidRDefault="00512C75" w:rsidP="000C3E2D">
      <w:pPr>
        <w:spacing w:line="480" w:lineRule="auto"/>
        <w:contextualSpacing/>
        <w:jc w:val="both"/>
        <w:rPr>
          <w:rFonts w:ascii="Trebuchet MS" w:hAnsi="Trebuchet MS"/>
          <w:spacing w:val="20"/>
        </w:rPr>
      </w:pPr>
      <w:r>
        <w:rPr>
          <w:rFonts w:ascii="Trebuchet MS" w:hAnsi="Trebuchet MS"/>
          <w:spacing w:val="20"/>
        </w:rPr>
        <w:t>Basically, there are 2 types of election, namely, primary election and general election. Primary elections are the means by which political parties seeking to nominate candidates for elections into political offices</w:t>
      </w:r>
      <w:r w:rsidR="00960DDD">
        <w:rPr>
          <w:rFonts w:ascii="Trebuchet MS" w:hAnsi="Trebuchet MS"/>
          <w:spacing w:val="20"/>
        </w:rPr>
        <w:t xml:space="preserve"> determine their candidates. </w:t>
      </w:r>
      <w:r w:rsidR="00932AD6">
        <w:rPr>
          <w:rFonts w:ascii="Trebuchet MS" w:hAnsi="Trebuchet MS"/>
          <w:spacing w:val="20"/>
        </w:rPr>
        <w:t>T</w:t>
      </w:r>
      <w:r w:rsidR="00960DDD">
        <w:rPr>
          <w:rFonts w:ascii="Trebuchet MS" w:hAnsi="Trebuchet MS"/>
          <w:spacing w:val="20"/>
        </w:rPr>
        <w:t xml:space="preserve">his is expected to be </w:t>
      </w:r>
      <w:r w:rsidR="00932AD6">
        <w:rPr>
          <w:rFonts w:ascii="Trebuchet MS" w:hAnsi="Trebuchet MS"/>
          <w:spacing w:val="20"/>
        </w:rPr>
        <w:t xml:space="preserve">either </w:t>
      </w:r>
      <w:r w:rsidR="00960DDD">
        <w:rPr>
          <w:rFonts w:ascii="Trebuchet MS" w:hAnsi="Trebuchet MS"/>
          <w:spacing w:val="20"/>
        </w:rPr>
        <w:t xml:space="preserve">through voting or </w:t>
      </w:r>
      <w:r w:rsidR="00932AD6">
        <w:rPr>
          <w:rFonts w:ascii="Trebuchet MS" w:hAnsi="Trebuchet MS"/>
          <w:spacing w:val="20"/>
        </w:rPr>
        <w:t xml:space="preserve">through </w:t>
      </w:r>
      <w:r w:rsidR="00960DDD">
        <w:rPr>
          <w:rFonts w:ascii="Trebuchet MS" w:hAnsi="Trebuchet MS"/>
          <w:spacing w:val="20"/>
        </w:rPr>
        <w:t>con</w:t>
      </w:r>
      <w:r w:rsidR="00932AD6">
        <w:rPr>
          <w:rFonts w:ascii="Trebuchet MS" w:hAnsi="Trebuchet MS"/>
          <w:spacing w:val="20"/>
        </w:rPr>
        <w:t>s</w:t>
      </w:r>
      <w:r w:rsidR="00960DDD">
        <w:rPr>
          <w:rFonts w:ascii="Trebuchet MS" w:hAnsi="Trebuchet MS"/>
          <w:spacing w:val="20"/>
        </w:rPr>
        <w:t>ensus by way of general endorsement</w:t>
      </w:r>
      <w:r w:rsidR="00932AD6">
        <w:rPr>
          <w:rFonts w:ascii="Trebuchet MS" w:hAnsi="Trebuchet MS"/>
          <w:spacing w:val="20"/>
        </w:rPr>
        <w:t xml:space="preserve"> of the sole aspirant.</w:t>
      </w:r>
      <w:r>
        <w:rPr>
          <w:rStyle w:val="FootnoteReference"/>
          <w:rFonts w:ascii="Trebuchet MS" w:hAnsi="Trebuchet MS"/>
          <w:spacing w:val="20"/>
        </w:rPr>
        <w:footnoteReference w:id="14"/>
      </w:r>
      <w:r>
        <w:rPr>
          <w:rFonts w:ascii="Trebuchet MS" w:hAnsi="Trebuchet MS"/>
          <w:spacing w:val="20"/>
        </w:rPr>
        <w:t xml:space="preserve"> In Nigeria, Section 87 of the Electoral Act, 2010 (as amended) recognises two forms of primary elections: (a) direct primaries; and (b) indirect primaries. A political party is free to choose any of the two forms of primary elections. In direct primaries, all members of the political party are entitled to vote for the aspirant of their choice. Here, section 87(3) of the Electoral Act, 2010 (as amended) stipulates that a political party that has adopted the direct primaries procedure must ensure that all aspirants are given equal opportunity of being voted for by the members of the party.</w:t>
      </w:r>
    </w:p>
    <w:p w14:paraId="3DC61571" w14:textId="77777777" w:rsidR="00512C75" w:rsidRDefault="00512C75" w:rsidP="000C3E2D">
      <w:pPr>
        <w:spacing w:line="480" w:lineRule="auto"/>
        <w:contextualSpacing/>
        <w:jc w:val="both"/>
        <w:rPr>
          <w:rFonts w:ascii="Trebuchet MS" w:hAnsi="Trebuchet MS"/>
          <w:spacing w:val="20"/>
        </w:rPr>
      </w:pPr>
    </w:p>
    <w:p w14:paraId="73316790" w14:textId="0D5A1762" w:rsidR="00512C75" w:rsidRDefault="00512C75" w:rsidP="000C3E2D">
      <w:pPr>
        <w:spacing w:line="480" w:lineRule="auto"/>
        <w:contextualSpacing/>
        <w:jc w:val="both"/>
        <w:rPr>
          <w:rFonts w:ascii="Trebuchet MS" w:hAnsi="Trebuchet MS"/>
          <w:spacing w:val="20"/>
        </w:rPr>
      </w:pPr>
      <w:r>
        <w:rPr>
          <w:rFonts w:ascii="Trebuchet MS" w:hAnsi="Trebuchet MS"/>
          <w:spacing w:val="20"/>
        </w:rPr>
        <w:t>In the case of indirect primary elections, the candidate of the political party is chosen through votes cast by delegates as against voting by all the members of the political party. The aspirant with the highest number of votes is declared winner of the primaries and becomes the candidate of the political party at the general election.</w:t>
      </w:r>
      <w:r w:rsidR="00960DDD">
        <w:rPr>
          <w:rFonts w:ascii="Trebuchet MS" w:hAnsi="Trebuchet MS"/>
          <w:spacing w:val="20"/>
        </w:rPr>
        <w:t xml:space="preserve"> </w:t>
      </w:r>
      <w:r w:rsidR="00960DDD" w:rsidRPr="00E06BFE">
        <w:rPr>
          <w:rFonts w:ascii="Trebuchet MS" w:hAnsi="Trebuchet MS"/>
          <w:spacing w:val="20"/>
        </w:rPr>
        <w:t>Political parties are mandated to incorporate this into their respective constitutions</w:t>
      </w:r>
      <w:r w:rsidR="00BC6511" w:rsidRPr="00E06BFE">
        <w:rPr>
          <w:rFonts w:ascii="Trebuchet MS" w:hAnsi="Trebuchet MS"/>
          <w:spacing w:val="20"/>
        </w:rPr>
        <w:t xml:space="preserve"> the mode of adopting indirect primaries</w:t>
      </w:r>
      <w:r w:rsidR="00960DDD" w:rsidRPr="00E06BFE">
        <w:rPr>
          <w:rFonts w:ascii="Trebuchet MS" w:hAnsi="Trebuchet MS"/>
          <w:spacing w:val="20"/>
        </w:rPr>
        <w:t>.</w:t>
      </w:r>
      <w:r w:rsidR="00BC6511" w:rsidRPr="00E06BFE">
        <w:rPr>
          <w:rStyle w:val="FootnoteReference"/>
          <w:rFonts w:ascii="Trebuchet MS" w:hAnsi="Trebuchet MS"/>
          <w:spacing w:val="20"/>
        </w:rPr>
        <w:footnoteReference w:id="15"/>
      </w:r>
      <w:r w:rsidR="00960DDD" w:rsidRPr="00E06BFE">
        <w:rPr>
          <w:rFonts w:ascii="Trebuchet MS" w:hAnsi="Trebuchet MS"/>
          <w:spacing w:val="20"/>
        </w:rPr>
        <w:t xml:space="preserve"> Essentially, this is to enhance and promote the culture of internal democracy in the various political parties.</w:t>
      </w:r>
    </w:p>
    <w:p w14:paraId="495F0582" w14:textId="77777777" w:rsidR="00512C75" w:rsidRDefault="00512C75" w:rsidP="000C3E2D">
      <w:pPr>
        <w:spacing w:line="480" w:lineRule="auto"/>
        <w:contextualSpacing/>
        <w:jc w:val="both"/>
        <w:rPr>
          <w:rFonts w:ascii="Trebuchet MS" w:hAnsi="Trebuchet MS"/>
          <w:spacing w:val="20"/>
        </w:rPr>
      </w:pPr>
    </w:p>
    <w:p w14:paraId="15797F63" w14:textId="47C6CCD4" w:rsidR="00C569B8" w:rsidRPr="00DC167E" w:rsidRDefault="00512C75" w:rsidP="000C3E2D">
      <w:pPr>
        <w:spacing w:line="480" w:lineRule="auto"/>
        <w:contextualSpacing/>
        <w:jc w:val="both"/>
        <w:rPr>
          <w:rFonts w:ascii="Trebuchet MS" w:hAnsi="Trebuchet MS"/>
          <w:spacing w:val="20"/>
        </w:rPr>
      </w:pPr>
      <w:r>
        <w:rPr>
          <w:rFonts w:ascii="Trebuchet MS" w:hAnsi="Trebuchet MS"/>
          <w:spacing w:val="20"/>
        </w:rPr>
        <w:t>General elections, on the other hand, are elections that are conducted to fill political offices. It involves voters and candidates in the applicable constituency. A voter does not need to be a member of a political party before he can vote at a general election. Usually, general elections are conducted on a nationwide scale among candidates of the various political parties.</w:t>
      </w:r>
      <w:r w:rsidR="0040514B">
        <w:rPr>
          <w:rFonts w:ascii="Trebuchet MS" w:hAnsi="Trebuchet MS"/>
          <w:spacing w:val="20"/>
        </w:rPr>
        <w:t xml:space="preserve"> This is why the Electoral Act, 2010 (as amended)</w:t>
      </w:r>
      <w:r w:rsidR="0040514B">
        <w:rPr>
          <w:rStyle w:val="FootnoteReference"/>
          <w:rFonts w:ascii="Trebuchet MS" w:hAnsi="Trebuchet MS"/>
          <w:spacing w:val="20"/>
        </w:rPr>
        <w:footnoteReference w:id="16"/>
      </w:r>
      <w:r w:rsidR="0040514B">
        <w:rPr>
          <w:rFonts w:ascii="Trebuchet MS" w:hAnsi="Trebuchet MS"/>
          <w:spacing w:val="20"/>
        </w:rPr>
        <w:t xml:space="preserve"> defines </w:t>
      </w:r>
      <w:r w:rsidR="0053760C">
        <w:rPr>
          <w:rFonts w:ascii="Trebuchet MS" w:hAnsi="Trebuchet MS"/>
          <w:spacing w:val="20"/>
        </w:rPr>
        <w:t>general election to mean “an election held in the Federation at large which may be at all levels, and at regular intervals to select officers to serve after the expiration of the full terms of their predecessors”</w:t>
      </w:r>
      <w:r w:rsidR="006F6A6D">
        <w:rPr>
          <w:rFonts w:ascii="Trebuchet MS" w:hAnsi="Trebuchet MS"/>
          <w:spacing w:val="20"/>
        </w:rPr>
        <w:t>.</w:t>
      </w:r>
      <w:r w:rsidR="00960DDD">
        <w:rPr>
          <w:rFonts w:ascii="Trebuchet MS" w:hAnsi="Trebuchet MS"/>
          <w:spacing w:val="20"/>
        </w:rPr>
        <w:t xml:space="preserve"> It is important to state that in respect of elections at the Local Government </w:t>
      </w:r>
      <w:r w:rsidR="00BB6E6E">
        <w:rPr>
          <w:rFonts w:ascii="Trebuchet MS" w:hAnsi="Trebuchet MS"/>
          <w:spacing w:val="20"/>
        </w:rPr>
        <w:t>Councils</w:t>
      </w:r>
      <w:r w:rsidR="00960DDD">
        <w:rPr>
          <w:rFonts w:ascii="Trebuchet MS" w:hAnsi="Trebuchet MS"/>
          <w:spacing w:val="20"/>
        </w:rPr>
        <w:t>, the Electoral Act</w:t>
      </w:r>
      <w:r w:rsidR="00BB6E6E">
        <w:rPr>
          <w:rFonts w:ascii="Trebuchet MS" w:hAnsi="Trebuchet MS"/>
          <w:spacing w:val="20"/>
        </w:rPr>
        <w:t>, 2010 (as amended)</w:t>
      </w:r>
      <w:r w:rsidR="00960DDD">
        <w:rPr>
          <w:rFonts w:ascii="Trebuchet MS" w:hAnsi="Trebuchet MS"/>
          <w:spacing w:val="20"/>
        </w:rPr>
        <w:t xml:space="preserve"> </w:t>
      </w:r>
      <w:r w:rsidR="00BB6E6E">
        <w:rPr>
          <w:rFonts w:ascii="Trebuchet MS" w:hAnsi="Trebuchet MS"/>
          <w:spacing w:val="20"/>
        </w:rPr>
        <w:t xml:space="preserve">is only </w:t>
      </w:r>
      <w:r w:rsidR="00960DDD">
        <w:rPr>
          <w:rFonts w:ascii="Trebuchet MS" w:hAnsi="Trebuchet MS"/>
          <w:spacing w:val="20"/>
        </w:rPr>
        <w:t>applicable</w:t>
      </w:r>
      <w:r w:rsidR="00BB6E6E">
        <w:rPr>
          <w:rFonts w:ascii="Trebuchet MS" w:hAnsi="Trebuchet MS"/>
          <w:spacing w:val="20"/>
        </w:rPr>
        <w:t xml:space="preserve"> to the Area Council in the Federal Capital Territory, Abuja</w:t>
      </w:r>
      <w:r w:rsidR="00403F9D">
        <w:rPr>
          <w:rStyle w:val="FootnoteReference"/>
          <w:rFonts w:ascii="Trebuchet MS" w:hAnsi="Trebuchet MS"/>
          <w:spacing w:val="20"/>
        </w:rPr>
        <w:footnoteReference w:id="17"/>
      </w:r>
      <w:r w:rsidR="00960DDD">
        <w:rPr>
          <w:rFonts w:ascii="Trebuchet MS" w:hAnsi="Trebuchet MS"/>
          <w:spacing w:val="20"/>
        </w:rPr>
        <w:t xml:space="preserve"> and it is the law enacted by the </w:t>
      </w:r>
      <w:r w:rsidR="00BB6E6E">
        <w:rPr>
          <w:rFonts w:ascii="Trebuchet MS" w:hAnsi="Trebuchet MS"/>
          <w:spacing w:val="20"/>
        </w:rPr>
        <w:t>respective House</w:t>
      </w:r>
      <w:r w:rsidR="00693939">
        <w:rPr>
          <w:rFonts w:ascii="Trebuchet MS" w:hAnsi="Trebuchet MS"/>
          <w:spacing w:val="20"/>
        </w:rPr>
        <w:t>s</w:t>
      </w:r>
      <w:r w:rsidR="00BB6E6E">
        <w:rPr>
          <w:rFonts w:ascii="Trebuchet MS" w:hAnsi="Trebuchet MS"/>
          <w:spacing w:val="20"/>
        </w:rPr>
        <w:t xml:space="preserve"> of Assembly of each </w:t>
      </w:r>
      <w:r w:rsidR="00960DDD">
        <w:rPr>
          <w:rFonts w:ascii="Trebuchet MS" w:hAnsi="Trebuchet MS"/>
          <w:spacing w:val="20"/>
        </w:rPr>
        <w:t>State that govern</w:t>
      </w:r>
      <w:r w:rsidR="00305FEE">
        <w:rPr>
          <w:rFonts w:ascii="Trebuchet MS" w:hAnsi="Trebuchet MS"/>
          <w:spacing w:val="20"/>
        </w:rPr>
        <w:t>s</w:t>
      </w:r>
      <w:r w:rsidR="00960DDD">
        <w:rPr>
          <w:rFonts w:ascii="Trebuchet MS" w:hAnsi="Trebuchet MS"/>
          <w:spacing w:val="20"/>
        </w:rPr>
        <w:t xml:space="preserve"> such.</w:t>
      </w:r>
      <w:r w:rsidR="00CF116C">
        <w:rPr>
          <w:rStyle w:val="FootnoteReference"/>
          <w:rFonts w:ascii="Trebuchet MS" w:hAnsi="Trebuchet MS"/>
          <w:spacing w:val="20"/>
        </w:rPr>
        <w:footnoteReference w:id="18"/>
      </w:r>
    </w:p>
    <w:p w14:paraId="1058EFEF" w14:textId="77777777" w:rsidR="00DC167E" w:rsidRDefault="00DC167E" w:rsidP="000C3E2D">
      <w:pPr>
        <w:spacing w:line="480" w:lineRule="auto"/>
        <w:contextualSpacing/>
        <w:jc w:val="both"/>
        <w:rPr>
          <w:rFonts w:ascii="Trebuchet MS" w:hAnsi="Trebuchet MS"/>
          <w:spacing w:val="20"/>
        </w:rPr>
      </w:pPr>
    </w:p>
    <w:p w14:paraId="61B3FA62" w14:textId="759DD5DE" w:rsidR="00CE496B" w:rsidRPr="008D56ED" w:rsidRDefault="007423A1" w:rsidP="000C3E2D">
      <w:pPr>
        <w:spacing w:line="480" w:lineRule="auto"/>
        <w:contextualSpacing/>
        <w:jc w:val="both"/>
        <w:rPr>
          <w:rFonts w:ascii="Trebuchet MS" w:hAnsi="Trebuchet MS"/>
          <w:b/>
          <w:spacing w:val="20"/>
        </w:rPr>
      </w:pPr>
      <w:r w:rsidRPr="008D56ED">
        <w:rPr>
          <w:rFonts w:ascii="Trebuchet MS" w:hAnsi="Trebuchet MS"/>
          <w:b/>
          <w:spacing w:val="20"/>
        </w:rPr>
        <w:t xml:space="preserve">Dispute </w:t>
      </w:r>
    </w:p>
    <w:p w14:paraId="3C70892B" w14:textId="099F8E32" w:rsidR="00B416AF" w:rsidRDefault="004A0E39" w:rsidP="000C3E2D">
      <w:pPr>
        <w:spacing w:line="480" w:lineRule="auto"/>
        <w:contextualSpacing/>
        <w:jc w:val="both"/>
        <w:rPr>
          <w:rFonts w:ascii="Trebuchet MS" w:hAnsi="Trebuchet MS"/>
          <w:spacing w:val="20"/>
        </w:rPr>
      </w:pPr>
      <w:r>
        <w:rPr>
          <w:rFonts w:ascii="Trebuchet MS" w:hAnsi="Trebuchet MS"/>
          <w:spacing w:val="20"/>
        </w:rPr>
        <w:t>According to Oxford Advanced Learner’s Dictionary</w:t>
      </w:r>
      <w:r>
        <w:rPr>
          <w:rStyle w:val="FootnoteReference"/>
          <w:rFonts w:ascii="Trebuchet MS" w:hAnsi="Trebuchet MS"/>
          <w:spacing w:val="20"/>
        </w:rPr>
        <w:footnoteReference w:id="19"/>
      </w:r>
      <w:r>
        <w:rPr>
          <w:rFonts w:ascii="Trebuchet MS" w:hAnsi="Trebuchet MS"/>
          <w:spacing w:val="20"/>
        </w:rPr>
        <w:t xml:space="preserve"> the word “Dispute” is defined as:</w:t>
      </w:r>
    </w:p>
    <w:p w14:paraId="14F3027B" w14:textId="4974FD1B" w:rsidR="004A0E39" w:rsidRDefault="004A0E39" w:rsidP="000C3E2D">
      <w:pPr>
        <w:spacing w:line="480" w:lineRule="auto"/>
        <w:ind w:left="1440"/>
        <w:contextualSpacing/>
        <w:jc w:val="both"/>
        <w:rPr>
          <w:rFonts w:ascii="Trebuchet MS" w:hAnsi="Trebuchet MS"/>
          <w:spacing w:val="20"/>
        </w:rPr>
      </w:pPr>
      <w:r>
        <w:rPr>
          <w:rFonts w:ascii="Trebuchet MS" w:hAnsi="Trebuchet MS"/>
          <w:spacing w:val="20"/>
        </w:rPr>
        <w:t>“an argument or a disagreement between two people, groups or countries; discussion about a subject where there is disagreement:”</w:t>
      </w:r>
    </w:p>
    <w:p w14:paraId="18682B34" w14:textId="77777777" w:rsidR="00F83D5E" w:rsidRDefault="00F83D5E" w:rsidP="000C3E2D">
      <w:pPr>
        <w:spacing w:line="480" w:lineRule="auto"/>
        <w:contextualSpacing/>
        <w:jc w:val="both"/>
        <w:rPr>
          <w:rFonts w:ascii="Trebuchet MS" w:hAnsi="Trebuchet MS"/>
          <w:spacing w:val="20"/>
        </w:rPr>
      </w:pPr>
    </w:p>
    <w:p w14:paraId="42F44A88" w14:textId="71DB5FC3" w:rsidR="005221D5" w:rsidRDefault="005221D5" w:rsidP="000C3E2D">
      <w:pPr>
        <w:spacing w:line="480" w:lineRule="auto"/>
        <w:contextualSpacing/>
        <w:jc w:val="both"/>
        <w:rPr>
          <w:rFonts w:ascii="Trebuchet MS" w:hAnsi="Trebuchet MS"/>
          <w:spacing w:val="20"/>
        </w:rPr>
      </w:pPr>
      <w:r>
        <w:rPr>
          <w:rFonts w:ascii="Trebuchet MS" w:hAnsi="Trebuchet MS"/>
          <w:spacing w:val="20"/>
        </w:rPr>
        <w:t>In The Chambers Dictionary</w:t>
      </w:r>
      <w:r>
        <w:rPr>
          <w:rStyle w:val="FootnoteReference"/>
          <w:rFonts w:ascii="Trebuchet MS" w:hAnsi="Trebuchet MS"/>
          <w:spacing w:val="20"/>
        </w:rPr>
        <w:footnoteReference w:id="20"/>
      </w:r>
      <w:r>
        <w:rPr>
          <w:rFonts w:ascii="Trebuchet MS" w:hAnsi="Trebuchet MS"/>
          <w:spacing w:val="20"/>
        </w:rPr>
        <w:t>, “Dispute” was given the meaning thus:</w:t>
      </w:r>
    </w:p>
    <w:p w14:paraId="23E0CD9F" w14:textId="656F51B0" w:rsidR="005221D5" w:rsidRDefault="00DA2C89" w:rsidP="000C3E2D">
      <w:pPr>
        <w:spacing w:line="480" w:lineRule="auto"/>
        <w:ind w:left="1440"/>
        <w:contextualSpacing/>
        <w:jc w:val="both"/>
        <w:rPr>
          <w:rFonts w:ascii="Trebuchet MS" w:hAnsi="Trebuchet MS"/>
          <w:spacing w:val="20"/>
        </w:rPr>
      </w:pPr>
      <w:r>
        <w:rPr>
          <w:rFonts w:ascii="Trebuchet MS" w:hAnsi="Trebuchet MS"/>
          <w:spacing w:val="20"/>
        </w:rPr>
        <w:t>“to argue about; to contend for; to appose by argument; to call in question.”</w:t>
      </w:r>
    </w:p>
    <w:p w14:paraId="4C06572D" w14:textId="2EB1135C" w:rsidR="004A0E39" w:rsidRDefault="004A0E39" w:rsidP="000C3E2D">
      <w:pPr>
        <w:spacing w:line="480" w:lineRule="auto"/>
        <w:contextualSpacing/>
        <w:jc w:val="both"/>
        <w:rPr>
          <w:rFonts w:ascii="Trebuchet MS" w:hAnsi="Trebuchet MS"/>
          <w:spacing w:val="20"/>
        </w:rPr>
      </w:pPr>
      <w:r>
        <w:rPr>
          <w:rFonts w:ascii="Trebuchet MS" w:hAnsi="Trebuchet MS"/>
          <w:spacing w:val="20"/>
        </w:rPr>
        <w:t>Black’s Law Dictionary</w:t>
      </w:r>
      <w:r w:rsidR="00F83D5E">
        <w:rPr>
          <w:rStyle w:val="FootnoteReference"/>
          <w:rFonts w:ascii="Trebuchet MS" w:hAnsi="Trebuchet MS"/>
          <w:spacing w:val="20"/>
        </w:rPr>
        <w:footnoteReference w:id="21"/>
      </w:r>
      <w:r w:rsidR="00F83D5E">
        <w:rPr>
          <w:rFonts w:ascii="Trebuchet MS" w:hAnsi="Trebuchet MS"/>
          <w:spacing w:val="20"/>
        </w:rPr>
        <w:t xml:space="preserve"> defines “dispute” thus:</w:t>
      </w:r>
    </w:p>
    <w:p w14:paraId="24675E33" w14:textId="77777777" w:rsidR="00F83D5E" w:rsidRDefault="00F83D5E" w:rsidP="000C3E2D">
      <w:pPr>
        <w:spacing w:line="480" w:lineRule="auto"/>
        <w:contextualSpacing/>
        <w:jc w:val="both"/>
        <w:rPr>
          <w:rFonts w:ascii="Trebuchet MS" w:hAnsi="Trebuchet MS"/>
          <w:spacing w:val="20"/>
        </w:rPr>
      </w:pPr>
    </w:p>
    <w:p w14:paraId="2A48C0A4" w14:textId="63F06539" w:rsidR="00F83D5E" w:rsidRDefault="00F83D5E" w:rsidP="000C3E2D">
      <w:pPr>
        <w:spacing w:line="480" w:lineRule="auto"/>
        <w:ind w:left="1440"/>
        <w:contextualSpacing/>
        <w:jc w:val="both"/>
        <w:rPr>
          <w:rFonts w:ascii="Trebuchet MS" w:hAnsi="Trebuchet MS"/>
          <w:spacing w:val="20"/>
        </w:rPr>
      </w:pPr>
      <w:r>
        <w:rPr>
          <w:rFonts w:ascii="Trebuchet MS" w:hAnsi="Trebuchet MS"/>
          <w:spacing w:val="20"/>
        </w:rPr>
        <w:t>“A conflict or controversy, esp. one that has given rise to a particular lawsuit.”</w:t>
      </w:r>
    </w:p>
    <w:p w14:paraId="3D78BF91" w14:textId="77777777" w:rsidR="000323ED" w:rsidRDefault="000323ED" w:rsidP="000C3E2D">
      <w:pPr>
        <w:spacing w:line="480" w:lineRule="auto"/>
        <w:contextualSpacing/>
        <w:jc w:val="both"/>
        <w:rPr>
          <w:rFonts w:ascii="Trebuchet MS" w:hAnsi="Trebuchet MS"/>
          <w:spacing w:val="20"/>
        </w:rPr>
      </w:pPr>
    </w:p>
    <w:p w14:paraId="6F4E2827" w14:textId="3F63ED2B" w:rsidR="00F83D5E" w:rsidRDefault="000323ED" w:rsidP="000C3E2D">
      <w:pPr>
        <w:spacing w:line="480" w:lineRule="auto"/>
        <w:contextualSpacing/>
        <w:jc w:val="both"/>
        <w:rPr>
          <w:rFonts w:ascii="Trebuchet MS" w:hAnsi="Trebuchet MS"/>
          <w:spacing w:val="20"/>
        </w:rPr>
      </w:pPr>
      <w:r>
        <w:rPr>
          <w:rFonts w:ascii="Trebuchet MS" w:hAnsi="Trebuchet MS"/>
          <w:spacing w:val="20"/>
        </w:rPr>
        <w:t xml:space="preserve">From the series of definitions of </w:t>
      </w:r>
      <w:r w:rsidR="00FF4219">
        <w:rPr>
          <w:rFonts w:ascii="Trebuchet MS" w:hAnsi="Trebuchet MS"/>
          <w:spacing w:val="20"/>
        </w:rPr>
        <w:t>the word “</w:t>
      </w:r>
      <w:r>
        <w:rPr>
          <w:rFonts w:ascii="Trebuchet MS" w:hAnsi="Trebuchet MS"/>
          <w:spacing w:val="20"/>
        </w:rPr>
        <w:t>dispute</w:t>
      </w:r>
      <w:r w:rsidR="00FF4219">
        <w:rPr>
          <w:rFonts w:ascii="Trebuchet MS" w:hAnsi="Trebuchet MS"/>
          <w:spacing w:val="20"/>
        </w:rPr>
        <w:t>”</w:t>
      </w:r>
      <w:r>
        <w:rPr>
          <w:rFonts w:ascii="Trebuchet MS" w:hAnsi="Trebuchet MS"/>
          <w:spacing w:val="20"/>
        </w:rPr>
        <w:t xml:space="preserve"> that have been proffered above, one can safely say that the word “dispute” means a</w:t>
      </w:r>
      <w:r w:rsidR="00EF5741">
        <w:rPr>
          <w:rFonts w:ascii="Trebuchet MS" w:hAnsi="Trebuchet MS"/>
          <w:spacing w:val="20"/>
        </w:rPr>
        <w:t>n argument,</w:t>
      </w:r>
      <w:r>
        <w:rPr>
          <w:rFonts w:ascii="Trebuchet MS" w:hAnsi="Trebuchet MS"/>
          <w:spacing w:val="20"/>
        </w:rPr>
        <w:t xml:space="preserve"> </w:t>
      </w:r>
      <w:r w:rsidR="00EF5741">
        <w:rPr>
          <w:rFonts w:ascii="Trebuchet MS" w:hAnsi="Trebuchet MS"/>
          <w:spacing w:val="20"/>
        </w:rPr>
        <w:t xml:space="preserve">a </w:t>
      </w:r>
      <w:r>
        <w:rPr>
          <w:rFonts w:ascii="Trebuchet MS" w:hAnsi="Trebuchet MS"/>
          <w:spacing w:val="20"/>
        </w:rPr>
        <w:t>disagreement</w:t>
      </w:r>
      <w:r w:rsidR="00EF5741">
        <w:rPr>
          <w:rFonts w:ascii="Trebuchet MS" w:hAnsi="Trebuchet MS"/>
          <w:spacing w:val="20"/>
        </w:rPr>
        <w:t>, conflict or controversy</w:t>
      </w:r>
      <w:r>
        <w:rPr>
          <w:rFonts w:ascii="Trebuchet MS" w:hAnsi="Trebuchet MS"/>
          <w:spacing w:val="20"/>
        </w:rPr>
        <w:t xml:space="preserve"> </w:t>
      </w:r>
      <w:r w:rsidR="00EF5741">
        <w:rPr>
          <w:rFonts w:ascii="Trebuchet MS" w:hAnsi="Trebuchet MS"/>
          <w:spacing w:val="20"/>
        </w:rPr>
        <w:t>on an issue or issues</w:t>
      </w:r>
      <w:r>
        <w:rPr>
          <w:rFonts w:ascii="Trebuchet MS" w:hAnsi="Trebuchet MS"/>
          <w:spacing w:val="20"/>
        </w:rPr>
        <w:t xml:space="preserve"> between two or more persons</w:t>
      </w:r>
      <w:r w:rsidR="00EF5741">
        <w:rPr>
          <w:rFonts w:ascii="Trebuchet MS" w:hAnsi="Trebuchet MS"/>
          <w:spacing w:val="20"/>
        </w:rPr>
        <w:t xml:space="preserve">, groups, organisations, countries etc. which may </w:t>
      </w:r>
      <w:r w:rsidR="005174CE">
        <w:rPr>
          <w:rFonts w:ascii="Trebuchet MS" w:hAnsi="Trebuchet MS"/>
          <w:spacing w:val="20"/>
        </w:rPr>
        <w:t xml:space="preserve">or may not </w:t>
      </w:r>
      <w:r w:rsidR="00EF5741">
        <w:rPr>
          <w:rFonts w:ascii="Trebuchet MS" w:hAnsi="Trebuchet MS"/>
          <w:spacing w:val="20"/>
        </w:rPr>
        <w:t>give rise to a lawsuit.</w:t>
      </w:r>
      <w:r w:rsidR="00C84B01">
        <w:rPr>
          <w:rFonts w:ascii="Trebuchet MS" w:hAnsi="Trebuchet MS"/>
          <w:spacing w:val="20"/>
        </w:rPr>
        <w:t xml:space="preserve"> In the context of our discourse, it will</w:t>
      </w:r>
      <w:r w:rsidR="006F6A6D">
        <w:rPr>
          <w:rFonts w:ascii="Trebuchet MS" w:hAnsi="Trebuchet MS"/>
          <w:spacing w:val="20"/>
        </w:rPr>
        <w:t xml:space="preserve"> be</w:t>
      </w:r>
      <w:r w:rsidR="00C84B01">
        <w:rPr>
          <w:rFonts w:ascii="Trebuchet MS" w:hAnsi="Trebuchet MS"/>
          <w:spacing w:val="20"/>
        </w:rPr>
        <w:t xml:space="preserve"> conflict or disagreement arising from the electoral process.</w:t>
      </w:r>
    </w:p>
    <w:p w14:paraId="384FD13B" w14:textId="77777777" w:rsidR="00235E91" w:rsidRDefault="00235E91" w:rsidP="000C3E2D">
      <w:pPr>
        <w:spacing w:line="480" w:lineRule="auto"/>
        <w:contextualSpacing/>
        <w:jc w:val="both"/>
        <w:rPr>
          <w:rFonts w:ascii="Trebuchet MS" w:hAnsi="Trebuchet MS"/>
          <w:b/>
          <w:spacing w:val="20"/>
        </w:rPr>
      </w:pPr>
    </w:p>
    <w:p w14:paraId="393A9606" w14:textId="698F44D0" w:rsidR="00683905" w:rsidRDefault="00235E91" w:rsidP="000C3E2D">
      <w:pPr>
        <w:spacing w:line="480" w:lineRule="auto"/>
        <w:contextualSpacing/>
        <w:jc w:val="both"/>
        <w:rPr>
          <w:rFonts w:ascii="Trebuchet MS" w:hAnsi="Trebuchet MS"/>
          <w:spacing w:val="20"/>
        </w:rPr>
      </w:pPr>
      <w:r w:rsidRPr="008D56ED">
        <w:rPr>
          <w:rFonts w:ascii="Trebuchet MS" w:hAnsi="Trebuchet MS"/>
          <w:b/>
          <w:spacing w:val="20"/>
        </w:rPr>
        <w:t>Dispute Resolution</w:t>
      </w:r>
    </w:p>
    <w:p w14:paraId="7F0B383A" w14:textId="6EF924AD" w:rsidR="00302E91" w:rsidRDefault="00235E91" w:rsidP="000C3E2D">
      <w:pPr>
        <w:spacing w:line="480" w:lineRule="auto"/>
        <w:contextualSpacing/>
        <w:jc w:val="both"/>
        <w:rPr>
          <w:rFonts w:ascii="Trebuchet MS" w:hAnsi="Trebuchet MS"/>
          <w:spacing w:val="20"/>
        </w:rPr>
      </w:pPr>
      <w:r>
        <w:rPr>
          <w:rFonts w:ascii="Trebuchet MS" w:hAnsi="Trebuchet MS"/>
          <w:spacing w:val="20"/>
        </w:rPr>
        <w:t>T</w:t>
      </w:r>
      <w:r w:rsidR="00A647F9">
        <w:rPr>
          <w:rFonts w:ascii="Trebuchet MS" w:hAnsi="Trebuchet MS"/>
          <w:spacing w:val="20"/>
        </w:rPr>
        <w:t xml:space="preserve">he </w:t>
      </w:r>
      <w:r w:rsidR="006F6A6D">
        <w:rPr>
          <w:rFonts w:ascii="Trebuchet MS" w:hAnsi="Trebuchet MS"/>
          <w:spacing w:val="20"/>
        </w:rPr>
        <w:t>phrase</w:t>
      </w:r>
      <w:r w:rsidR="00A647F9">
        <w:rPr>
          <w:rFonts w:ascii="Trebuchet MS" w:hAnsi="Trebuchet MS"/>
          <w:spacing w:val="20"/>
        </w:rPr>
        <w:t xml:space="preserve"> “d</w:t>
      </w:r>
      <w:r w:rsidR="006D53F2">
        <w:rPr>
          <w:rFonts w:ascii="Trebuchet MS" w:hAnsi="Trebuchet MS"/>
          <w:spacing w:val="20"/>
        </w:rPr>
        <w:t>ispute resolution</w:t>
      </w:r>
      <w:r w:rsidR="00A647F9">
        <w:rPr>
          <w:rFonts w:ascii="Trebuchet MS" w:hAnsi="Trebuchet MS"/>
          <w:spacing w:val="20"/>
        </w:rPr>
        <w:t>”</w:t>
      </w:r>
      <w:r w:rsidR="006D53F2">
        <w:rPr>
          <w:rFonts w:ascii="Trebuchet MS" w:hAnsi="Trebuchet MS"/>
          <w:spacing w:val="20"/>
        </w:rPr>
        <w:t xml:space="preserve"> is the process of resolving di</w:t>
      </w:r>
      <w:r w:rsidR="00706E36">
        <w:rPr>
          <w:rFonts w:ascii="Trebuchet MS" w:hAnsi="Trebuchet MS"/>
          <w:spacing w:val="20"/>
        </w:rPr>
        <w:t>sputes betwe</w:t>
      </w:r>
      <w:r w:rsidR="006D53F2">
        <w:rPr>
          <w:rFonts w:ascii="Trebuchet MS" w:hAnsi="Trebuchet MS"/>
          <w:spacing w:val="20"/>
        </w:rPr>
        <w:t>en parties</w:t>
      </w:r>
      <w:r w:rsidR="00A647F9">
        <w:rPr>
          <w:rFonts w:ascii="Trebuchet MS" w:hAnsi="Trebuchet MS"/>
          <w:spacing w:val="20"/>
        </w:rPr>
        <w:t>.</w:t>
      </w:r>
      <w:r w:rsidR="00A647F9" w:rsidRPr="00A647F9">
        <w:rPr>
          <w:rFonts w:ascii="Trebuchet MS" w:hAnsi="Trebuchet MS"/>
          <w:spacing w:val="20"/>
          <w:vertAlign w:val="superscript"/>
        </w:rPr>
        <w:footnoteReference w:id="22"/>
      </w:r>
      <w:r w:rsidR="00C85D0C">
        <w:rPr>
          <w:rFonts w:ascii="Trebuchet MS" w:hAnsi="Trebuchet MS"/>
          <w:spacing w:val="20"/>
        </w:rPr>
        <w:t xml:space="preserve"> </w:t>
      </w:r>
      <w:r w:rsidR="00302E91" w:rsidRPr="00302E91">
        <w:rPr>
          <w:rFonts w:ascii="Trebuchet MS" w:hAnsi="Trebuchet MS"/>
          <w:spacing w:val="20"/>
        </w:rPr>
        <w:t xml:space="preserve">The </w:t>
      </w:r>
      <w:r w:rsidR="00CB7923">
        <w:rPr>
          <w:rFonts w:ascii="Trebuchet MS" w:hAnsi="Trebuchet MS"/>
          <w:spacing w:val="20"/>
        </w:rPr>
        <w:t>phrase</w:t>
      </w:r>
      <w:r w:rsidR="00302E91" w:rsidRPr="00302E91">
        <w:rPr>
          <w:rFonts w:ascii="Trebuchet MS" w:hAnsi="Trebuchet MS"/>
          <w:spacing w:val="20"/>
        </w:rPr>
        <w:t xml:space="preserve"> may also refer to a process which applies to applicants whose applications are the subject of a formal objection.</w:t>
      </w:r>
      <w:r w:rsidR="00302E91">
        <w:rPr>
          <w:rStyle w:val="FootnoteReference"/>
          <w:rFonts w:ascii="Trebuchet MS" w:hAnsi="Trebuchet MS"/>
          <w:spacing w:val="20"/>
        </w:rPr>
        <w:footnoteReference w:id="23"/>
      </w:r>
      <w:r w:rsidR="00D03865">
        <w:rPr>
          <w:rFonts w:ascii="Trebuchet MS" w:hAnsi="Trebuchet MS"/>
          <w:spacing w:val="20"/>
        </w:rPr>
        <w:t xml:space="preserve"> </w:t>
      </w:r>
      <w:r w:rsidR="001A65BE">
        <w:rPr>
          <w:rFonts w:ascii="Trebuchet MS" w:hAnsi="Trebuchet MS"/>
          <w:spacing w:val="20"/>
        </w:rPr>
        <w:t>F</w:t>
      </w:r>
      <w:r w:rsidR="00D03865">
        <w:rPr>
          <w:rFonts w:ascii="Trebuchet MS" w:hAnsi="Trebuchet MS"/>
          <w:spacing w:val="20"/>
        </w:rPr>
        <w:t>rom the totality of the description</w:t>
      </w:r>
      <w:r w:rsidR="001A65BE">
        <w:rPr>
          <w:rFonts w:ascii="Trebuchet MS" w:hAnsi="Trebuchet MS"/>
          <w:spacing w:val="20"/>
        </w:rPr>
        <w:t>s</w:t>
      </w:r>
      <w:r w:rsidR="00D03865">
        <w:rPr>
          <w:rFonts w:ascii="Trebuchet MS" w:hAnsi="Trebuchet MS"/>
          <w:spacing w:val="20"/>
        </w:rPr>
        <w:t xml:space="preserve"> above</w:t>
      </w:r>
      <w:r w:rsidR="001A65BE">
        <w:rPr>
          <w:rFonts w:ascii="Trebuchet MS" w:hAnsi="Trebuchet MS"/>
          <w:spacing w:val="20"/>
        </w:rPr>
        <w:t xml:space="preserve"> one can safely say that</w:t>
      </w:r>
      <w:r w:rsidR="00D03865">
        <w:rPr>
          <w:rFonts w:ascii="Trebuchet MS" w:hAnsi="Trebuchet MS"/>
          <w:spacing w:val="20"/>
        </w:rPr>
        <w:t xml:space="preserve"> dispute resolution can be regarded as a process of resolving dispute between parties. </w:t>
      </w:r>
    </w:p>
    <w:p w14:paraId="77159A40" w14:textId="77777777" w:rsidR="00302E91" w:rsidRDefault="00302E91" w:rsidP="000C3E2D">
      <w:pPr>
        <w:spacing w:line="480" w:lineRule="auto"/>
        <w:contextualSpacing/>
        <w:jc w:val="both"/>
        <w:rPr>
          <w:rFonts w:ascii="Trebuchet MS" w:hAnsi="Trebuchet MS"/>
          <w:spacing w:val="20"/>
        </w:rPr>
      </w:pPr>
    </w:p>
    <w:p w14:paraId="6CFC4086" w14:textId="6F0FAE40" w:rsidR="00421542" w:rsidRDefault="004B2A0A" w:rsidP="000C3E2D">
      <w:pPr>
        <w:spacing w:line="480" w:lineRule="auto"/>
        <w:contextualSpacing/>
        <w:jc w:val="both"/>
        <w:rPr>
          <w:rFonts w:ascii="Trebuchet MS" w:hAnsi="Trebuchet MS"/>
          <w:spacing w:val="20"/>
        </w:rPr>
      </w:pPr>
      <w:r>
        <w:rPr>
          <w:rFonts w:ascii="Trebuchet MS" w:hAnsi="Trebuchet MS"/>
          <w:spacing w:val="20"/>
        </w:rPr>
        <w:t>According to Wikipedia,</w:t>
      </w:r>
      <w:r>
        <w:rPr>
          <w:rStyle w:val="FootnoteReference"/>
          <w:rFonts w:ascii="Trebuchet MS" w:hAnsi="Trebuchet MS"/>
          <w:spacing w:val="20"/>
        </w:rPr>
        <w:footnoteReference w:id="24"/>
      </w:r>
      <w:r>
        <w:rPr>
          <w:rFonts w:ascii="Trebuchet MS" w:hAnsi="Trebuchet MS"/>
          <w:spacing w:val="20"/>
        </w:rPr>
        <w:t>t</w:t>
      </w:r>
      <w:r w:rsidR="001900B5">
        <w:rPr>
          <w:rFonts w:ascii="Trebuchet MS" w:hAnsi="Trebuchet MS"/>
          <w:spacing w:val="20"/>
        </w:rPr>
        <w:t xml:space="preserve">he different </w:t>
      </w:r>
      <w:r w:rsidR="00302E91">
        <w:rPr>
          <w:rFonts w:ascii="Trebuchet MS" w:hAnsi="Trebuchet MS"/>
          <w:spacing w:val="20"/>
        </w:rPr>
        <w:t xml:space="preserve">method of dispute resolution </w:t>
      </w:r>
      <w:r w:rsidR="001900B5">
        <w:rPr>
          <w:rFonts w:ascii="Trebuchet MS" w:hAnsi="Trebuchet MS"/>
          <w:spacing w:val="20"/>
        </w:rPr>
        <w:t>include</w:t>
      </w:r>
      <w:r w:rsidR="00302E91">
        <w:rPr>
          <w:rFonts w:ascii="Trebuchet MS" w:hAnsi="Trebuchet MS"/>
          <w:spacing w:val="20"/>
        </w:rPr>
        <w:t>s</w:t>
      </w:r>
      <w:r w:rsidR="001900B5">
        <w:rPr>
          <w:rFonts w:ascii="Trebuchet MS" w:hAnsi="Trebuchet MS"/>
          <w:spacing w:val="20"/>
        </w:rPr>
        <w:t xml:space="preserve"> litigation, arbitration, </w:t>
      </w:r>
      <w:r w:rsidR="001900B5" w:rsidRPr="00900316">
        <w:rPr>
          <w:rFonts w:ascii="Trebuchet MS" w:hAnsi="Trebuchet MS"/>
          <w:spacing w:val="20"/>
        </w:rPr>
        <w:t>collaborative law,</w:t>
      </w:r>
      <w:r w:rsidR="001900B5">
        <w:rPr>
          <w:rFonts w:ascii="Trebuchet MS" w:hAnsi="Trebuchet MS"/>
          <w:spacing w:val="20"/>
        </w:rPr>
        <w:t xml:space="preserve"> mediation, conciliation, negotiation and facilitation.</w:t>
      </w:r>
      <w:r w:rsidR="00B337AC">
        <w:rPr>
          <w:rFonts w:ascii="Trebuchet MS" w:hAnsi="Trebuchet MS"/>
          <w:spacing w:val="20"/>
        </w:rPr>
        <w:t xml:space="preserve"> Dispute resolution may be judicial or extra-judicial. </w:t>
      </w:r>
    </w:p>
    <w:p w14:paraId="6B232329" w14:textId="77777777" w:rsidR="00421542" w:rsidRDefault="00421542" w:rsidP="000C3E2D">
      <w:pPr>
        <w:spacing w:line="480" w:lineRule="auto"/>
        <w:contextualSpacing/>
        <w:jc w:val="both"/>
        <w:rPr>
          <w:rFonts w:ascii="Trebuchet MS" w:hAnsi="Trebuchet MS"/>
          <w:spacing w:val="20"/>
        </w:rPr>
      </w:pPr>
    </w:p>
    <w:p w14:paraId="44FC7FED" w14:textId="24444BF8" w:rsidR="006D53F2" w:rsidRDefault="00B337AC" w:rsidP="000C3E2D">
      <w:pPr>
        <w:spacing w:line="480" w:lineRule="auto"/>
        <w:contextualSpacing/>
        <w:jc w:val="both"/>
        <w:rPr>
          <w:rFonts w:ascii="Trebuchet MS" w:hAnsi="Trebuchet MS"/>
          <w:spacing w:val="20"/>
        </w:rPr>
      </w:pPr>
      <w:r w:rsidRPr="00B337AC">
        <w:rPr>
          <w:rFonts w:ascii="Trebuchet MS" w:hAnsi="Trebuchet MS"/>
          <w:spacing w:val="20"/>
        </w:rPr>
        <w:t>The most common form of judicial dispute resolution is litigation. Litigation is initiated when one party files suit against another.</w:t>
      </w:r>
      <w:r w:rsidRPr="00B337AC">
        <w:rPr>
          <w:rFonts w:eastAsia="Times New Roman" w:cs="Times New Roman"/>
        </w:rPr>
        <w:t xml:space="preserve"> </w:t>
      </w:r>
      <w:r w:rsidRPr="00B337AC">
        <w:rPr>
          <w:rFonts w:ascii="Trebuchet MS" w:hAnsi="Trebuchet MS"/>
          <w:spacing w:val="20"/>
        </w:rPr>
        <w:t>The verdict of the</w:t>
      </w:r>
      <w:r>
        <w:rPr>
          <w:rFonts w:ascii="Trebuchet MS" w:hAnsi="Trebuchet MS"/>
          <w:spacing w:val="20"/>
        </w:rPr>
        <w:t xml:space="preserve"> court is binding, not advisory. H</w:t>
      </w:r>
      <w:r w:rsidRPr="00B337AC">
        <w:rPr>
          <w:rFonts w:ascii="Trebuchet MS" w:hAnsi="Trebuchet MS"/>
          <w:spacing w:val="20"/>
        </w:rPr>
        <w:t xml:space="preserve">owever, both parties have the right to appeal </w:t>
      </w:r>
      <w:r>
        <w:rPr>
          <w:rFonts w:ascii="Trebuchet MS" w:hAnsi="Trebuchet MS"/>
          <w:spacing w:val="20"/>
        </w:rPr>
        <w:t xml:space="preserve">the judgment to a higher court. </w:t>
      </w:r>
      <w:r w:rsidRPr="00B337AC">
        <w:rPr>
          <w:rFonts w:ascii="Trebuchet MS" w:hAnsi="Trebuchet MS"/>
          <w:spacing w:val="20"/>
        </w:rPr>
        <w:t>Judicial dispute resolution is typically adversarial in nature, for example, involving antagonistic parties or opposing interests seeking an outcome most favorable to their position.</w:t>
      </w:r>
      <w:r w:rsidR="00421542">
        <w:rPr>
          <w:rStyle w:val="FootnoteReference"/>
          <w:rFonts w:ascii="Trebuchet MS" w:hAnsi="Trebuchet MS"/>
          <w:spacing w:val="20"/>
        </w:rPr>
        <w:footnoteReference w:id="25"/>
      </w:r>
    </w:p>
    <w:p w14:paraId="3E08D355" w14:textId="77777777" w:rsidR="00421542" w:rsidRDefault="00421542" w:rsidP="000C3E2D">
      <w:pPr>
        <w:spacing w:line="480" w:lineRule="auto"/>
        <w:contextualSpacing/>
        <w:jc w:val="both"/>
        <w:rPr>
          <w:rFonts w:ascii="Trebuchet MS" w:hAnsi="Trebuchet MS"/>
          <w:spacing w:val="20"/>
        </w:rPr>
      </w:pPr>
    </w:p>
    <w:p w14:paraId="73A02C08" w14:textId="6700E3D3" w:rsidR="00421542" w:rsidRDefault="0041096B" w:rsidP="000C3E2D">
      <w:pPr>
        <w:spacing w:line="480" w:lineRule="auto"/>
        <w:contextualSpacing/>
        <w:jc w:val="both"/>
        <w:rPr>
          <w:rFonts w:ascii="Trebuchet MS" w:hAnsi="Trebuchet MS"/>
          <w:spacing w:val="20"/>
        </w:rPr>
      </w:pPr>
      <w:r>
        <w:rPr>
          <w:rFonts w:ascii="Trebuchet MS" w:hAnsi="Trebuchet MS"/>
          <w:spacing w:val="20"/>
        </w:rPr>
        <w:t>In regard to E</w:t>
      </w:r>
      <w:r w:rsidR="00421542">
        <w:rPr>
          <w:rFonts w:ascii="Trebuchet MS" w:hAnsi="Trebuchet MS"/>
          <w:spacing w:val="20"/>
        </w:rPr>
        <w:t>xtra Judicial resolution</w:t>
      </w:r>
      <w:r>
        <w:rPr>
          <w:rFonts w:ascii="Trebuchet MS" w:hAnsi="Trebuchet MS"/>
          <w:spacing w:val="20"/>
        </w:rPr>
        <w:t>,</w:t>
      </w:r>
      <w:r w:rsidR="00727B6B">
        <w:rPr>
          <w:rFonts w:ascii="Trebuchet MS" w:hAnsi="Trebuchet MS"/>
          <w:spacing w:val="20"/>
        </w:rPr>
        <w:t xml:space="preserve"> </w:t>
      </w:r>
      <w:r>
        <w:rPr>
          <w:rFonts w:ascii="Trebuchet MS" w:hAnsi="Trebuchet MS"/>
          <w:spacing w:val="20"/>
        </w:rPr>
        <w:t>s</w:t>
      </w:r>
      <w:r w:rsidRPr="0041096B">
        <w:rPr>
          <w:rFonts w:ascii="Trebuchet MS" w:hAnsi="Trebuchet MS"/>
          <w:spacing w:val="20"/>
        </w:rPr>
        <w:t xml:space="preserve">ome use the term </w:t>
      </w:r>
      <w:r>
        <w:rPr>
          <w:rFonts w:ascii="Trebuchet MS" w:hAnsi="Trebuchet MS"/>
          <w:spacing w:val="20"/>
        </w:rPr>
        <w:t>“</w:t>
      </w:r>
      <w:r w:rsidRPr="0041096B">
        <w:rPr>
          <w:rFonts w:ascii="Trebuchet MS" w:hAnsi="Trebuchet MS"/>
          <w:i/>
          <w:iCs/>
          <w:spacing w:val="20"/>
        </w:rPr>
        <w:t>dispute resolution</w:t>
      </w:r>
      <w:r>
        <w:rPr>
          <w:rFonts w:ascii="Trebuchet MS" w:hAnsi="Trebuchet MS"/>
          <w:i/>
          <w:iCs/>
          <w:spacing w:val="20"/>
        </w:rPr>
        <w:t>”</w:t>
      </w:r>
      <w:r w:rsidRPr="0041096B">
        <w:rPr>
          <w:rFonts w:ascii="Trebuchet MS" w:hAnsi="Trebuchet MS"/>
          <w:spacing w:val="20"/>
        </w:rPr>
        <w:t xml:space="preserve"> to refer only to </w:t>
      </w:r>
      <w:r>
        <w:rPr>
          <w:rFonts w:ascii="Trebuchet MS" w:hAnsi="Trebuchet MS"/>
          <w:spacing w:val="20"/>
        </w:rPr>
        <w:t>alternative dispute resolution</w:t>
      </w:r>
      <w:r w:rsidRPr="0041096B">
        <w:rPr>
          <w:rFonts w:ascii="Trebuchet MS" w:hAnsi="Trebuchet MS"/>
          <w:spacing w:val="20"/>
        </w:rPr>
        <w:t xml:space="preserve"> (ADR), that is, extrajudicial</w:t>
      </w:r>
      <w:r w:rsidR="00421542">
        <w:rPr>
          <w:rFonts w:ascii="Trebuchet MS" w:hAnsi="Trebuchet MS"/>
          <w:spacing w:val="20"/>
        </w:rPr>
        <w:t xml:space="preserve"> </w:t>
      </w:r>
      <w:r w:rsidRPr="0041096B">
        <w:rPr>
          <w:rFonts w:ascii="Trebuchet MS" w:hAnsi="Trebuchet MS"/>
          <w:spacing w:val="20"/>
        </w:rPr>
        <w:t>processes such as arbitration, collaborative law, and mediation used to resolve conflict and potential conflict between and among individuals,</w:t>
      </w:r>
      <w:r>
        <w:rPr>
          <w:rFonts w:ascii="Trebuchet MS" w:hAnsi="Trebuchet MS"/>
          <w:spacing w:val="20"/>
        </w:rPr>
        <w:t xml:space="preserve"> business</w:t>
      </w:r>
      <w:r w:rsidRPr="0041096B">
        <w:rPr>
          <w:rFonts w:ascii="Trebuchet MS" w:hAnsi="Trebuchet MS"/>
          <w:spacing w:val="20"/>
        </w:rPr>
        <w:t xml:space="preserve"> entities, governmental agencies, and (in the </w:t>
      </w:r>
      <w:r>
        <w:rPr>
          <w:rFonts w:ascii="Trebuchet MS" w:hAnsi="Trebuchet MS"/>
          <w:spacing w:val="20"/>
        </w:rPr>
        <w:t>public international law</w:t>
      </w:r>
      <w:r w:rsidRPr="0041096B">
        <w:rPr>
          <w:rFonts w:ascii="Trebuchet MS" w:hAnsi="Trebuchet MS"/>
          <w:spacing w:val="20"/>
        </w:rPr>
        <w:t xml:space="preserve"> context) </w:t>
      </w:r>
      <w:r>
        <w:rPr>
          <w:rFonts w:ascii="Trebuchet MS" w:hAnsi="Trebuchet MS"/>
          <w:spacing w:val="20"/>
        </w:rPr>
        <w:t>states</w:t>
      </w:r>
      <w:r w:rsidRPr="0041096B">
        <w:rPr>
          <w:rFonts w:ascii="Trebuchet MS" w:hAnsi="Trebuchet MS"/>
          <w:spacing w:val="20"/>
        </w:rPr>
        <w:t>. ADR generally depends on agreement by the parties to use ADR processes, either before or after a dispute has arisen.</w:t>
      </w:r>
      <w:r w:rsidR="00EE3EAC">
        <w:rPr>
          <w:rStyle w:val="FootnoteReference"/>
          <w:rFonts w:ascii="Trebuchet MS" w:hAnsi="Trebuchet MS"/>
          <w:spacing w:val="20"/>
        </w:rPr>
        <w:footnoteReference w:id="26"/>
      </w:r>
    </w:p>
    <w:p w14:paraId="179A4357" w14:textId="77777777" w:rsidR="00683905" w:rsidRDefault="00683905" w:rsidP="000C3E2D">
      <w:pPr>
        <w:spacing w:line="480" w:lineRule="auto"/>
        <w:contextualSpacing/>
        <w:jc w:val="both"/>
        <w:rPr>
          <w:rFonts w:ascii="Trebuchet MS" w:hAnsi="Trebuchet MS"/>
          <w:spacing w:val="20"/>
        </w:rPr>
      </w:pPr>
    </w:p>
    <w:p w14:paraId="3DBC1EA6" w14:textId="77777777" w:rsidR="00457B18" w:rsidRDefault="00457B18" w:rsidP="000C3E2D">
      <w:pPr>
        <w:spacing w:line="480" w:lineRule="auto"/>
        <w:contextualSpacing/>
        <w:jc w:val="center"/>
        <w:rPr>
          <w:rFonts w:ascii="Trebuchet MS" w:hAnsi="Trebuchet MS"/>
          <w:spacing w:val="20"/>
        </w:rPr>
      </w:pPr>
      <w:r>
        <w:rPr>
          <w:rFonts w:ascii="Trebuchet MS" w:hAnsi="Trebuchet MS"/>
          <w:spacing w:val="20"/>
        </w:rPr>
        <w:br w:type="page"/>
      </w:r>
    </w:p>
    <w:p w14:paraId="4813D3E3" w14:textId="1131C76B" w:rsidR="00982A32" w:rsidRDefault="00CC5854" w:rsidP="000C3E2D">
      <w:pPr>
        <w:spacing w:line="480" w:lineRule="auto"/>
        <w:contextualSpacing/>
        <w:jc w:val="center"/>
        <w:rPr>
          <w:rFonts w:ascii="Trebuchet MS" w:hAnsi="Trebuchet MS"/>
          <w:spacing w:val="20"/>
        </w:rPr>
      </w:pPr>
      <w:r>
        <w:rPr>
          <w:rFonts w:ascii="Trebuchet MS" w:hAnsi="Trebuchet MS"/>
          <w:spacing w:val="20"/>
        </w:rPr>
        <w:t>Part III</w:t>
      </w:r>
    </w:p>
    <w:p w14:paraId="59A5FBF5" w14:textId="03BFA3AB" w:rsidR="00CC5854" w:rsidRPr="00457B18" w:rsidRDefault="00CC5854" w:rsidP="000C3E2D">
      <w:pPr>
        <w:spacing w:line="480" w:lineRule="auto"/>
        <w:contextualSpacing/>
        <w:jc w:val="center"/>
        <w:rPr>
          <w:rFonts w:ascii="Trebuchet MS" w:hAnsi="Trebuchet MS"/>
          <w:b/>
          <w:smallCaps/>
          <w:spacing w:val="20"/>
        </w:rPr>
      </w:pPr>
      <w:r w:rsidRPr="00457B18">
        <w:rPr>
          <w:rFonts w:ascii="Trebuchet MS" w:hAnsi="Trebuchet MS"/>
          <w:b/>
          <w:smallCaps/>
          <w:spacing w:val="20"/>
        </w:rPr>
        <w:t>Constitutional and Legal Framework</w:t>
      </w:r>
      <w:r w:rsidR="009D1446">
        <w:rPr>
          <w:rFonts w:ascii="Trebuchet MS" w:hAnsi="Trebuchet MS"/>
          <w:b/>
          <w:smallCaps/>
          <w:spacing w:val="20"/>
        </w:rPr>
        <w:t xml:space="preserve"> for </w:t>
      </w:r>
      <w:r w:rsidR="00727B6B">
        <w:rPr>
          <w:rFonts w:ascii="Trebuchet MS" w:hAnsi="Trebuchet MS"/>
          <w:b/>
          <w:smallCaps/>
          <w:spacing w:val="20"/>
        </w:rPr>
        <w:t>E</w:t>
      </w:r>
      <w:r w:rsidR="009D1446">
        <w:rPr>
          <w:rFonts w:ascii="Trebuchet MS" w:hAnsi="Trebuchet MS"/>
          <w:b/>
          <w:smallCaps/>
          <w:spacing w:val="20"/>
        </w:rPr>
        <w:t xml:space="preserve">lection </w:t>
      </w:r>
      <w:r w:rsidR="00727B6B">
        <w:rPr>
          <w:rFonts w:ascii="Trebuchet MS" w:hAnsi="Trebuchet MS"/>
          <w:b/>
          <w:smallCaps/>
          <w:spacing w:val="20"/>
        </w:rPr>
        <w:t>D</w:t>
      </w:r>
      <w:r w:rsidR="009D1446">
        <w:rPr>
          <w:rFonts w:ascii="Trebuchet MS" w:hAnsi="Trebuchet MS"/>
          <w:b/>
          <w:smallCaps/>
          <w:spacing w:val="20"/>
        </w:rPr>
        <w:t xml:space="preserve">isputes in </w:t>
      </w:r>
      <w:r w:rsidR="00727B6B">
        <w:rPr>
          <w:rFonts w:ascii="Trebuchet MS" w:hAnsi="Trebuchet MS"/>
          <w:b/>
          <w:smallCaps/>
          <w:spacing w:val="20"/>
        </w:rPr>
        <w:t>N</w:t>
      </w:r>
      <w:r w:rsidR="009D1446">
        <w:rPr>
          <w:rFonts w:ascii="Trebuchet MS" w:hAnsi="Trebuchet MS"/>
          <w:b/>
          <w:smallCaps/>
          <w:spacing w:val="20"/>
        </w:rPr>
        <w:t>igeria.</w:t>
      </w:r>
    </w:p>
    <w:p w14:paraId="0055D930" w14:textId="4192A010" w:rsidR="001E10C9" w:rsidRPr="00C22964" w:rsidRDefault="00492BE2" w:rsidP="000C3E2D">
      <w:pPr>
        <w:spacing w:line="480" w:lineRule="auto"/>
        <w:contextualSpacing/>
        <w:jc w:val="both"/>
        <w:rPr>
          <w:rFonts w:ascii="Trebuchet MS" w:hAnsi="Trebuchet MS"/>
          <w:b/>
          <w:spacing w:val="20"/>
        </w:rPr>
      </w:pPr>
      <w:r w:rsidRPr="00C22964">
        <w:rPr>
          <w:rFonts w:ascii="Trebuchet MS" w:hAnsi="Trebuchet MS"/>
          <w:b/>
          <w:spacing w:val="20"/>
        </w:rPr>
        <w:t>Constitutional Framework</w:t>
      </w:r>
    </w:p>
    <w:p w14:paraId="7AC0730E" w14:textId="239A5C5C" w:rsidR="00B63DBA" w:rsidRDefault="00B63DBA" w:rsidP="000C3E2D">
      <w:pPr>
        <w:spacing w:line="480" w:lineRule="auto"/>
        <w:contextualSpacing/>
        <w:jc w:val="both"/>
        <w:rPr>
          <w:rFonts w:ascii="Trebuchet MS" w:hAnsi="Trebuchet MS"/>
          <w:spacing w:val="20"/>
        </w:rPr>
      </w:pPr>
      <w:r>
        <w:rPr>
          <w:rFonts w:ascii="Trebuchet MS" w:hAnsi="Trebuchet MS"/>
          <w:spacing w:val="20"/>
        </w:rPr>
        <w:t>According to Pylee,</w:t>
      </w:r>
      <w:r>
        <w:rPr>
          <w:rStyle w:val="FootnoteReference"/>
          <w:rFonts w:ascii="Trebuchet MS" w:hAnsi="Trebuchet MS"/>
          <w:spacing w:val="20"/>
        </w:rPr>
        <w:footnoteReference w:id="27"/>
      </w:r>
      <w:r>
        <w:rPr>
          <w:rFonts w:ascii="Trebuchet MS" w:hAnsi="Trebuchet MS"/>
          <w:spacing w:val="20"/>
        </w:rPr>
        <w:t xml:space="preserve"> the word “Constitution” is defined to mean:</w:t>
      </w:r>
    </w:p>
    <w:p w14:paraId="0C902B13" w14:textId="73D600A6" w:rsidR="00325138" w:rsidRDefault="00B63DBA" w:rsidP="000C3E2D">
      <w:pPr>
        <w:spacing w:line="480" w:lineRule="auto"/>
        <w:ind w:left="1440"/>
        <w:contextualSpacing/>
        <w:jc w:val="both"/>
        <w:rPr>
          <w:rFonts w:ascii="Trebuchet MS" w:hAnsi="Trebuchet MS"/>
          <w:spacing w:val="20"/>
        </w:rPr>
      </w:pPr>
      <w:r>
        <w:rPr>
          <w:rFonts w:ascii="Trebuchet MS" w:hAnsi="Trebuchet MS"/>
          <w:spacing w:val="20"/>
        </w:rPr>
        <w:t>“a set of laws and rules setting up the machinery of the Government of a State and which defines and determines the relations between the different institutions and areas of Government, the Executive, the Legislature and the Judiciary, the Central, the Regional and the Local Government. Infact, a Constitution is the source, the jurisprudential fountain head from which other laws must flow, succinctly and harmoniously.”</w:t>
      </w:r>
    </w:p>
    <w:p w14:paraId="7BF50D5E" w14:textId="77777777" w:rsidR="006205DF" w:rsidRDefault="006205DF" w:rsidP="000C3E2D">
      <w:pPr>
        <w:spacing w:line="480" w:lineRule="auto"/>
        <w:contextualSpacing/>
        <w:jc w:val="both"/>
        <w:rPr>
          <w:rFonts w:ascii="Trebuchet MS" w:hAnsi="Trebuchet MS"/>
          <w:spacing w:val="20"/>
        </w:rPr>
      </w:pPr>
    </w:p>
    <w:p w14:paraId="47B0ACE3" w14:textId="71517BDC" w:rsidR="00873F2F" w:rsidRDefault="00873F2F" w:rsidP="000C3E2D">
      <w:pPr>
        <w:spacing w:line="480" w:lineRule="auto"/>
        <w:contextualSpacing/>
        <w:jc w:val="both"/>
        <w:rPr>
          <w:rFonts w:ascii="Trebuchet MS" w:hAnsi="Trebuchet MS"/>
          <w:spacing w:val="20"/>
        </w:rPr>
      </w:pPr>
      <w:r>
        <w:rPr>
          <w:rFonts w:ascii="Trebuchet MS" w:hAnsi="Trebuchet MS"/>
          <w:spacing w:val="20"/>
        </w:rPr>
        <w:t>Wade and Bradley</w:t>
      </w:r>
      <w:r>
        <w:rPr>
          <w:rStyle w:val="FootnoteReference"/>
          <w:rFonts w:ascii="Trebuchet MS" w:hAnsi="Trebuchet MS"/>
          <w:spacing w:val="20"/>
        </w:rPr>
        <w:footnoteReference w:id="28"/>
      </w:r>
      <w:r w:rsidR="00325138">
        <w:rPr>
          <w:rFonts w:ascii="Trebuchet MS" w:hAnsi="Trebuchet MS"/>
          <w:spacing w:val="20"/>
        </w:rPr>
        <w:t xml:space="preserve"> noted that the word “Constitution” has two meaning i.e. narrower and wider mean</w:t>
      </w:r>
      <w:r w:rsidR="00A8721C">
        <w:rPr>
          <w:rFonts w:ascii="Trebuchet MS" w:hAnsi="Trebuchet MS"/>
          <w:spacing w:val="20"/>
        </w:rPr>
        <w:t>ing. In the narrower meaning, they</w:t>
      </w:r>
      <w:r w:rsidR="00325138">
        <w:rPr>
          <w:rFonts w:ascii="Trebuchet MS" w:hAnsi="Trebuchet MS"/>
          <w:spacing w:val="20"/>
        </w:rPr>
        <w:t xml:space="preserve"> defined constitution to mean:</w:t>
      </w:r>
    </w:p>
    <w:p w14:paraId="0E8EC9F0" w14:textId="6E9F4D77" w:rsidR="00325138" w:rsidRDefault="00325138" w:rsidP="000C3E2D">
      <w:pPr>
        <w:spacing w:line="480" w:lineRule="auto"/>
        <w:ind w:left="1440"/>
        <w:contextualSpacing/>
        <w:jc w:val="both"/>
        <w:rPr>
          <w:rFonts w:ascii="Trebuchet MS" w:hAnsi="Trebuchet MS"/>
          <w:spacing w:val="20"/>
        </w:rPr>
      </w:pPr>
      <w:r>
        <w:rPr>
          <w:rFonts w:ascii="Trebuchet MS" w:hAnsi="Trebuchet MS"/>
          <w:spacing w:val="20"/>
        </w:rPr>
        <w:t>“a document having a special legal sanctity which sets out the framework and the principal functions of the organs of the Government within the state, and declares the principles by which those organs</w:t>
      </w:r>
      <w:r w:rsidR="00A8721C">
        <w:rPr>
          <w:rFonts w:ascii="Trebuchet MS" w:hAnsi="Trebuchet MS"/>
          <w:spacing w:val="20"/>
        </w:rPr>
        <w:t xml:space="preserve"> must operate.”</w:t>
      </w:r>
      <w:r>
        <w:rPr>
          <w:rFonts w:ascii="Trebuchet MS" w:hAnsi="Trebuchet MS"/>
          <w:spacing w:val="20"/>
        </w:rPr>
        <w:t xml:space="preserve"> </w:t>
      </w:r>
    </w:p>
    <w:p w14:paraId="5E09A9D2" w14:textId="77777777" w:rsidR="00A8721C" w:rsidRDefault="00A8721C" w:rsidP="000C3E2D">
      <w:pPr>
        <w:spacing w:line="480" w:lineRule="auto"/>
        <w:contextualSpacing/>
        <w:jc w:val="both"/>
        <w:rPr>
          <w:rFonts w:ascii="Trebuchet MS" w:hAnsi="Trebuchet MS"/>
          <w:spacing w:val="20"/>
        </w:rPr>
      </w:pPr>
    </w:p>
    <w:p w14:paraId="33C4C3B8" w14:textId="15A9B4DC" w:rsidR="00A8721C" w:rsidRDefault="00A8721C" w:rsidP="000C3E2D">
      <w:pPr>
        <w:spacing w:line="480" w:lineRule="auto"/>
        <w:contextualSpacing/>
        <w:jc w:val="both"/>
        <w:rPr>
          <w:rFonts w:ascii="Trebuchet MS" w:hAnsi="Trebuchet MS"/>
          <w:spacing w:val="20"/>
        </w:rPr>
      </w:pPr>
      <w:r>
        <w:rPr>
          <w:rFonts w:ascii="Trebuchet MS" w:hAnsi="Trebuchet MS"/>
          <w:spacing w:val="20"/>
        </w:rPr>
        <w:t>While in the wider sense, they defined constitution to mean</w:t>
      </w:r>
      <w:r w:rsidR="007F1584">
        <w:rPr>
          <w:rFonts w:ascii="Trebuchet MS" w:hAnsi="Trebuchet MS"/>
          <w:spacing w:val="20"/>
        </w:rPr>
        <w:t>:</w:t>
      </w:r>
    </w:p>
    <w:p w14:paraId="6FC96DA1" w14:textId="4634913C" w:rsidR="00A8721C" w:rsidRDefault="00A8721C" w:rsidP="000C3E2D">
      <w:pPr>
        <w:spacing w:line="480" w:lineRule="auto"/>
        <w:ind w:left="1440"/>
        <w:contextualSpacing/>
        <w:jc w:val="both"/>
        <w:rPr>
          <w:rFonts w:ascii="Trebuchet MS" w:hAnsi="Trebuchet MS"/>
          <w:spacing w:val="20"/>
        </w:rPr>
      </w:pPr>
      <w:r>
        <w:rPr>
          <w:rFonts w:ascii="Trebuchet MS" w:hAnsi="Trebuchet MS"/>
          <w:spacing w:val="20"/>
        </w:rPr>
        <w:t>“the whole system of government of a country, the collection of rules which establish and regulate or govern the government”</w:t>
      </w:r>
    </w:p>
    <w:p w14:paraId="0F766524" w14:textId="77777777" w:rsidR="008D518B" w:rsidRDefault="008D518B" w:rsidP="000C3E2D">
      <w:pPr>
        <w:spacing w:line="480" w:lineRule="auto"/>
        <w:contextualSpacing/>
        <w:jc w:val="both"/>
        <w:rPr>
          <w:rFonts w:ascii="Trebuchet MS" w:hAnsi="Trebuchet MS"/>
          <w:spacing w:val="20"/>
        </w:rPr>
      </w:pPr>
    </w:p>
    <w:p w14:paraId="73376F83" w14:textId="16B22754" w:rsidR="00DB3235" w:rsidRDefault="00D11A88" w:rsidP="000C3E2D">
      <w:pPr>
        <w:spacing w:line="480" w:lineRule="auto"/>
        <w:contextualSpacing/>
        <w:jc w:val="both"/>
        <w:rPr>
          <w:rFonts w:ascii="Trebuchet MS" w:hAnsi="Trebuchet MS"/>
          <w:spacing w:val="20"/>
        </w:rPr>
      </w:pPr>
      <w:r>
        <w:rPr>
          <w:rFonts w:ascii="Trebuchet MS" w:hAnsi="Trebuchet MS"/>
          <w:spacing w:val="20"/>
        </w:rPr>
        <w:t>From the distinction of a constitutio</w:t>
      </w:r>
      <w:r w:rsidR="00914809">
        <w:rPr>
          <w:rFonts w:ascii="Trebuchet MS" w:hAnsi="Trebuchet MS"/>
          <w:spacing w:val="20"/>
        </w:rPr>
        <w:t>n in a narrow and in a wide sens</w:t>
      </w:r>
      <w:r>
        <w:rPr>
          <w:rFonts w:ascii="Trebuchet MS" w:hAnsi="Trebuchet MS"/>
          <w:spacing w:val="20"/>
        </w:rPr>
        <w:t>e, the narrow meaning strictly refers to a written constitution like the United States of America while the wide meaning refers to unwritten constitution</w:t>
      </w:r>
      <w:r w:rsidR="00914809">
        <w:rPr>
          <w:rFonts w:ascii="Trebuchet MS" w:hAnsi="Trebuchet MS"/>
          <w:spacing w:val="20"/>
        </w:rPr>
        <w:t xml:space="preserve"> (collection of rules)</w:t>
      </w:r>
      <w:r>
        <w:rPr>
          <w:rFonts w:ascii="Trebuchet MS" w:hAnsi="Trebuchet MS"/>
          <w:spacing w:val="20"/>
        </w:rPr>
        <w:t xml:space="preserve"> like the United Kingdom of Great Britain and Northern Ireland.</w:t>
      </w:r>
      <w:r w:rsidR="00D85633">
        <w:rPr>
          <w:rStyle w:val="FootnoteReference"/>
          <w:rFonts w:ascii="Trebuchet MS" w:hAnsi="Trebuchet MS"/>
          <w:spacing w:val="20"/>
        </w:rPr>
        <w:footnoteReference w:id="29"/>
      </w:r>
      <w:r w:rsidR="00826B53">
        <w:rPr>
          <w:rFonts w:ascii="Trebuchet MS" w:hAnsi="Trebuchet MS"/>
          <w:spacing w:val="20"/>
        </w:rPr>
        <w:t xml:space="preserve"> </w:t>
      </w:r>
    </w:p>
    <w:p w14:paraId="0122EFFB" w14:textId="77777777" w:rsidR="00DB3235" w:rsidRDefault="00DB3235" w:rsidP="000C3E2D">
      <w:pPr>
        <w:spacing w:line="480" w:lineRule="auto"/>
        <w:contextualSpacing/>
        <w:jc w:val="both"/>
        <w:rPr>
          <w:rFonts w:ascii="Trebuchet MS" w:hAnsi="Trebuchet MS"/>
          <w:spacing w:val="20"/>
        </w:rPr>
      </w:pPr>
    </w:p>
    <w:p w14:paraId="20452463" w14:textId="333ED4BD" w:rsidR="00D11A88" w:rsidRDefault="00DB3235" w:rsidP="000C3E2D">
      <w:pPr>
        <w:spacing w:line="480" w:lineRule="auto"/>
        <w:contextualSpacing/>
        <w:jc w:val="both"/>
        <w:rPr>
          <w:rFonts w:ascii="Trebuchet MS" w:hAnsi="Trebuchet MS"/>
          <w:spacing w:val="20"/>
        </w:rPr>
      </w:pPr>
      <w:r>
        <w:rPr>
          <w:rFonts w:ascii="Trebuchet MS" w:hAnsi="Trebuchet MS"/>
          <w:spacing w:val="20"/>
        </w:rPr>
        <w:t xml:space="preserve">Constitutional provisions are </w:t>
      </w:r>
      <w:r w:rsidR="005A1DA8">
        <w:rPr>
          <w:rFonts w:ascii="Trebuchet MS" w:hAnsi="Trebuchet MS"/>
          <w:spacing w:val="20"/>
        </w:rPr>
        <w:t>fundamental</w:t>
      </w:r>
      <w:r>
        <w:rPr>
          <w:rFonts w:ascii="Trebuchet MS" w:hAnsi="Trebuchet MS"/>
          <w:spacing w:val="20"/>
        </w:rPr>
        <w:t xml:space="preserve"> to election dispute resolution in every country</w:t>
      </w:r>
      <w:r w:rsidR="00E871A3">
        <w:rPr>
          <w:rFonts w:ascii="Trebuchet MS" w:hAnsi="Trebuchet MS"/>
          <w:spacing w:val="20"/>
        </w:rPr>
        <w:t xml:space="preserve"> as it is the instrument that gives birth to other enactments</w:t>
      </w:r>
      <w:r>
        <w:rPr>
          <w:rFonts w:ascii="Trebuchet MS" w:hAnsi="Trebuchet MS"/>
          <w:spacing w:val="20"/>
        </w:rPr>
        <w:t xml:space="preserve">. </w:t>
      </w:r>
      <w:r w:rsidR="00826B53">
        <w:rPr>
          <w:rFonts w:ascii="Trebuchet MS" w:hAnsi="Trebuchet MS"/>
          <w:spacing w:val="20"/>
        </w:rPr>
        <w:t xml:space="preserve">It is pertinent to note that Nigeria has a written Constitution from which other laws derive their validity. </w:t>
      </w:r>
      <w:r w:rsidR="00E871A3">
        <w:rPr>
          <w:rFonts w:ascii="Trebuchet MS" w:hAnsi="Trebuchet MS"/>
          <w:spacing w:val="20"/>
        </w:rPr>
        <w:t xml:space="preserve">That explains why constitution </w:t>
      </w:r>
      <w:r>
        <w:rPr>
          <w:rFonts w:ascii="Trebuchet MS" w:hAnsi="Trebuchet MS"/>
          <w:spacing w:val="20"/>
        </w:rPr>
        <w:t>has been described thus:</w:t>
      </w:r>
    </w:p>
    <w:p w14:paraId="686B9A8B" w14:textId="4CD5CCB1" w:rsidR="00DB3235" w:rsidRDefault="00DB3235" w:rsidP="000C3E2D">
      <w:pPr>
        <w:spacing w:line="480" w:lineRule="auto"/>
        <w:ind w:left="1440"/>
        <w:contextualSpacing/>
        <w:jc w:val="both"/>
        <w:rPr>
          <w:rFonts w:ascii="Trebuchet MS" w:hAnsi="Trebuchet MS"/>
          <w:spacing w:val="20"/>
        </w:rPr>
      </w:pPr>
      <w:r>
        <w:rPr>
          <w:rFonts w:ascii="Trebuchet MS" w:hAnsi="Trebuchet MS"/>
          <w:spacing w:val="20"/>
        </w:rPr>
        <w:t>“</w:t>
      </w:r>
      <w:r w:rsidRPr="004B7CDE">
        <w:rPr>
          <w:rFonts w:ascii="Trebuchet MS" w:hAnsi="Trebuchet MS"/>
          <w:i/>
          <w:spacing w:val="20"/>
        </w:rPr>
        <w:t>A Constitution is the organic law of a country and it prescribes rights, powers, duties and responsibilities. It indeed, is the fons et origo from which all other laws derive their validity, that is, in an ideal constitutional democracy.</w:t>
      </w:r>
      <w:r>
        <w:rPr>
          <w:rFonts w:ascii="Trebuchet MS" w:hAnsi="Trebuchet MS"/>
          <w:spacing w:val="20"/>
        </w:rPr>
        <w:t>”</w:t>
      </w:r>
      <w:r>
        <w:rPr>
          <w:rStyle w:val="FootnoteReference"/>
          <w:rFonts w:ascii="Trebuchet MS" w:hAnsi="Trebuchet MS"/>
          <w:spacing w:val="20"/>
        </w:rPr>
        <w:footnoteReference w:id="30"/>
      </w:r>
    </w:p>
    <w:p w14:paraId="28322937" w14:textId="77777777" w:rsidR="00C22964" w:rsidRDefault="00C22964" w:rsidP="000C3E2D">
      <w:pPr>
        <w:spacing w:line="480" w:lineRule="auto"/>
        <w:contextualSpacing/>
        <w:jc w:val="both"/>
        <w:rPr>
          <w:rFonts w:ascii="Trebuchet MS" w:hAnsi="Trebuchet MS"/>
          <w:spacing w:val="20"/>
        </w:rPr>
      </w:pPr>
    </w:p>
    <w:p w14:paraId="31134EDE" w14:textId="35DFF5C7" w:rsidR="00D11A88" w:rsidRDefault="00840C09" w:rsidP="000C3E2D">
      <w:pPr>
        <w:spacing w:line="480" w:lineRule="auto"/>
        <w:contextualSpacing/>
        <w:jc w:val="both"/>
        <w:rPr>
          <w:rFonts w:ascii="Trebuchet MS" w:hAnsi="Trebuchet MS"/>
          <w:spacing w:val="20"/>
        </w:rPr>
      </w:pPr>
      <w:r>
        <w:rPr>
          <w:rFonts w:ascii="Trebuchet MS" w:hAnsi="Trebuchet MS"/>
          <w:spacing w:val="20"/>
        </w:rPr>
        <w:t xml:space="preserve">From the above description of the constitution, it becomes patent that all valid exercise of power within a </w:t>
      </w:r>
      <w:r w:rsidR="005A1DA8">
        <w:rPr>
          <w:rFonts w:ascii="Trebuchet MS" w:hAnsi="Trebuchet MS"/>
          <w:spacing w:val="20"/>
        </w:rPr>
        <w:t>state</w:t>
      </w:r>
      <w:r>
        <w:rPr>
          <w:rFonts w:ascii="Trebuchet MS" w:hAnsi="Trebuchet MS"/>
          <w:spacing w:val="20"/>
        </w:rPr>
        <w:t xml:space="preserve"> derives its </w:t>
      </w:r>
      <w:r w:rsidR="005A1DA8">
        <w:rPr>
          <w:rFonts w:ascii="Trebuchet MS" w:hAnsi="Trebuchet MS"/>
          <w:spacing w:val="20"/>
        </w:rPr>
        <w:t>validity from the constitution.</w:t>
      </w:r>
      <w:r w:rsidR="00E871A3">
        <w:rPr>
          <w:rFonts w:ascii="Trebuchet MS" w:hAnsi="Trebuchet MS"/>
          <w:spacing w:val="20"/>
        </w:rPr>
        <w:t xml:space="preserve"> Thus, constitution provides</w:t>
      </w:r>
      <w:r>
        <w:rPr>
          <w:rFonts w:ascii="Trebuchet MS" w:hAnsi="Trebuchet MS"/>
          <w:spacing w:val="20"/>
        </w:rPr>
        <w:t xml:space="preserve"> the </w:t>
      </w:r>
      <w:r w:rsidR="00BF23E3">
        <w:rPr>
          <w:rFonts w:ascii="Trebuchet MS" w:hAnsi="Trebuchet MS"/>
          <w:spacing w:val="20"/>
        </w:rPr>
        <w:t>key</w:t>
      </w:r>
      <w:r>
        <w:rPr>
          <w:rFonts w:ascii="Trebuchet MS" w:hAnsi="Trebuchet MS"/>
          <w:spacing w:val="20"/>
        </w:rPr>
        <w:t xml:space="preserve"> enabling legal structure for election dispute resolution in a country.</w:t>
      </w:r>
    </w:p>
    <w:p w14:paraId="269285BB" w14:textId="77777777" w:rsidR="001A4D42" w:rsidRDefault="001A4D42" w:rsidP="000C3E2D">
      <w:pPr>
        <w:spacing w:line="480" w:lineRule="auto"/>
        <w:contextualSpacing/>
        <w:jc w:val="both"/>
        <w:rPr>
          <w:rFonts w:ascii="Trebuchet MS" w:hAnsi="Trebuchet MS"/>
          <w:spacing w:val="20"/>
        </w:rPr>
      </w:pPr>
    </w:p>
    <w:p w14:paraId="5E212A2D" w14:textId="65C2FD9F" w:rsidR="001A4D42" w:rsidRDefault="001A4D42" w:rsidP="000C3E2D">
      <w:pPr>
        <w:spacing w:line="480" w:lineRule="auto"/>
        <w:contextualSpacing/>
        <w:jc w:val="both"/>
        <w:rPr>
          <w:rFonts w:ascii="Trebuchet MS" w:hAnsi="Trebuchet MS"/>
          <w:spacing w:val="20"/>
        </w:rPr>
      </w:pPr>
      <w:r>
        <w:rPr>
          <w:rFonts w:ascii="Trebuchet MS" w:hAnsi="Trebuchet MS"/>
          <w:spacing w:val="20"/>
        </w:rPr>
        <w:t>In Nigeria, a</w:t>
      </w:r>
      <w:r w:rsidR="00977429">
        <w:rPr>
          <w:rFonts w:ascii="Trebuchet MS" w:hAnsi="Trebuchet MS"/>
          <w:spacing w:val="20"/>
        </w:rPr>
        <w:t xml:space="preserve">n examination of the </w:t>
      </w:r>
      <w:r>
        <w:rPr>
          <w:rFonts w:ascii="Trebuchet MS" w:hAnsi="Trebuchet MS"/>
          <w:spacing w:val="20"/>
        </w:rPr>
        <w:t>Constitution of the Federal Republic of Nigeria, 1999 (as amended) (hereinafter referred to as the 1999 Constitution) confirms this position.</w:t>
      </w:r>
      <w:r w:rsidR="00553397">
        <w:rPr>
          <w:rFonts w:ascii="Trebuchet MS" w:hAnsi="Trebuchet MS"/>
          <w:spacing w:val="20"/>
        </w:rPr>
        <w:t xml:space="preserve"> Section 6 of the 1999 Constitution gives the Judiciary powers</w:t>
      </w:r>
      <w:r w:rsidR="007E0AEA">
        <w:rPr>
          <w:rFonts w:ascii="Trebuchet MS" w:hAnsi="Trebuchet MS"/>
          <w:spacing w:val="20"/>
        </w:rPr>
        <w:t xml:space="preserve"> in respect of all matters, actions and proceedings relating thereto between persons, or government or authority and to any person in Nigeria as to civil rights and obligations of that person.</w:t>
      </w:r>
      <w:r w:rsidR="00E871A3">
        <w:rPr>
          <w:rFonts w:ascii="Trebuchet MS" w:hAnsi="Trebuchet MS"/>
          <w:spacing w:val="20"/>
        </w:rPr>
        <w:t xml:space="preserve"> Specifically,</w:t>
      </w:r>
      <w:r w:rsidR="0028114D">
        <w:rPr>
          <w:rFonts w:ascii="Trebuchet MS" w:hAnsi="Trebuchet MS"/>
          <w:spacing w:val="20"/>
        </w:rPr>
        <w:t xml:space="preserve"> Section 6(6) of the 1999 Constitution provides as follows:</w:t>
      </w:r>
    </w:p>
    <w:p w14:paraId="7C688F41" w14:textId="60C941EF" w:rsidR="0028114D" w:rsidRDefault="007200FA" w:rsidP="000C3E2D">
      <w:pPr>
        <w:spacing w:line="480" w:lineRule="auto"/>
        <w:ind w:left="1440"/>
        <w:contextualSpacing/>
        <w:jc w:val="both"/>
        <w:rPr>
          <w:rFonts w:ascii="Trebuchet MS" w:hAnsi="Trebuchet MS"/>
          <w:spacing w:val="20"/>
        </w:rPr>
      </w:pPr>
      <w:r>
        <w:rPr>
          <w:rFonts w:ascii="Trebuchet MS" w:hAnsi="Trebuchet MS"/>
          <w:spacing w:val="20"/>
        </w:rPr>
        <w:t>“</w:t>
      </w:r>
      <w:r w:rsidR="00D70726">
        <w:rPr>
          <w:rFonts w:ascii="Trebuchet MS" w:hAnsi="Trebuchet MS"/>
          <w:spacing w:val="20"/>
        </w:rPr>
        <w:t>The judicial powers vested in accordance with the foregoing provisions of this section-</w:t>
      </w:r>
    </w:p>
    <w:p w14:paraId="65688B72" w14:textId="11817863" w:rsidR="00D70726" w:rsidRPr="001C3C84" w:rsidRDefault="00D70726" w:rsidP="00E47BA8">
      <w:pPr>
        <w:pStyle w:val="ListParagraph"/>
        <w:numPr>
          <w:ilvl w:val="0"/>
          <w:numId w:val="1"/>
        </w:numPr>
        <w:spacing w:line="480" w:lineRule="auto"/>
        <w:jc w:val="both"/>
        <w:rPr>
          <w:rFonts w:ascii="Trebuchet MS" w:hAnsi="Trebuchet MS"/>
          <w:spacing w:val="20"/>
        </w:rPr>
      </w:pPr>
      <w:r w:rsidRPr="001C3C84">
        <w:rPr>
          <w:rFonts w:ascii="Trebuchet MS" w:hAnsi="Trebuchet MS"/>
          <w:spacing w:val="20"/>
        </w:rPr>
        <w:t>shall extend, notwithstanding anything to the contrary in this Constitution, to all inherent powers</w:t>
      </w:r>
      <w:r w:rsidR="001C3C84" w:rsidRPr="001C3C84">
        <w:rPr>
          <w:rFonts w:ascii="Trebuchet MS" w:hAnsi="Trebuchet MS"/>
          <w:spacing w:val="20"/>
        </w:rPr>
        <w:t xml:space="preserve"> and sa</w:t>
      </w:r>
      <w:r w:rsidR="007B7346">
        <w:rPr>
          <w:rFonts w:ascii="Trebuchet MS" w:hAnsi="Trebuchet MS"/>
          <w:spacing w:val="20"/>
        </w:rPr>
        <w:t>n</w:t>
      </w:r>
      <w:r w:rsidR="001C3C84" w:rsidRPr="001C3C84">
        <w:rPr>
          <w:rFonts w:ascii="Trebuchet MS" w:hAnsi="Trebuchet MS"/>
          <w:spacing w:val="20"/>
        </w:rPr>
        <w:t>ctions of a court of law;</w:t>
      </w:r>
    </w:p>
    <w:p w14:paraId="51542C51" w14:textId="2EF434A0" w:rsidR="001C3C84" w:rsidRDefault="001C3C84" w:rsidP="00E47BA8">
      <w:pPr>
        <w:pStyle w:val="ListParagraph"/>
        <w:numPr>
          <w:ilvl w:val="0"/>
          <w:numId w:val="1"/>
        </w:numPr>
        <w:spacing w:line="480" w:lineRule="auto"/>
        <w:jc w:val="both"/>
        <w:rPr>
          <w:rFonts w:ascii="Trebuchet MS" w:hAnsi="Trebuchet MS"/>
          <w:spacing w:val="20"/>
        </w:rPr>
      </w:pPr>
      <w:r>
        <w:rPr>
          <w:rFonts w:ascii="Trebuchet MS" w:hAnsi="Trebuchet MS"/>
          <w:spacing w:val="20"/>
        </w:rPr>
        <w:t>shall extend to all matters between persons, or between government or authority and to any person in Nigeria, and to all ac</w:t>
      </w:r>
      <w:r w:rsidR="007B7346">
        <w:rPr>
          <w:rFonts w:ascii="Trebuchet MS" w:hAnsi="Trebuchet MS"/>
          <w:spacing w:val="20"/>
        </w:rPr>
        <w:t>t</w:t>
      </w:r>
      <w:r>
        <w:rPr>
          <w:rFonts w:ascii="Trebuchet MS" w:hAnsi="Trebuchet MS"/>
          <w:spacing w:val="20"/>
        </w:rPr>
        <w:t>ions and proceedings relating thereto, for the determination of any question as to the civil rights and obligations of that person;</w:t>
      </w:r>
    </w:p>
    <w:p w14:paraId="5EA86DC7" w14:textId="5E1634F5" w:rsidR="001C3C84" w:rsidRDefault="001C3C84" w:rsidP="00E47BA8">
      <w:pPr>
        <w:pStyle w:val="ListParagraph"/>
        <w:numPr>
          <w:ilvl w:val="0"/>
          <w:numId w:val="1"/>
        </w:numPr>
        <w:spacing w:line="480" w:lineRule="auto"/>
        <w:jc w:val="both"/>
        <w:rPr>
          <w:rFonts w:ascii="Trebuchet MS" w:hAnsi="Trebuchet MS"/>
          <w:spacing w:val="20"/>
        </w:rPr>
      </w:pPr>
      <w:r>
        <w:rPr>
          <w:rFonts w:ascii="Trebuchet MS" w:hAnsi="Trebuchet MS"/>
          <w:spacing w:val="20"/>
        </w:rPr>
        <w:t>shall not, except as otherwise provided by this Constitution, extend to any issue or question as to whether any act or omission by any authority or person or as to whether any law or any judicial decision is in conformity with the Fundamental Objectives and Directive Principles of State Policy set out in Chapter II of this Constitution;</w:t>
      </w:r>
    </w:p>
    <w:p w14:paraId="1DABFE57" w14:textId="62D48B9B" w:rsidR="001C3C84" w:rsidRDefault="001C3C84" w:rsidP="00E47BA8">
      <w:pPr>
        <w:pStyle w:val="ListParagraph"/>
        <w:numPr>
          <w:ilvl w:val="0"/>
          <w:numId w:val="1"/>
        </w:numPr>
        <w:spacing w:line="480" w:lineRule="auto"/>
        <w:jc w:val="both"/>
        <w:rPr>
          <w:rFonts w:ascii="Trebuchet MS" w:hAnsi="Trebuchet MS"/>
          <w:spacing w:val="20"/>
        </w:rPr>
      </w:pPr>
      <w:r>
        <w:rPr>
          <w:rFonts w:ascii="Trebuchet MS" w:hAnsi="Trebuchet MS"/>
          <w:spacing w:val="20"/>
        </w:rPr>
        <w:t>…</w:t>
      </w:r>
      <w:r w:rsidR="007200FA">
        <w:rPr>
          <w:rFonts w:ascii="Trebuchet MS" w:hAnsi="Trebuchet MS"/>
          <w:spacing w:val="20"/>
        </w:rPr>
        <w:t>”</w:t>
      </w:r>
    </w:p>
    <w:p w14:paraId="6B1C0D29" w14:textId="77777777" w:rsidR="00C22964" w:rsidRDefault="00C22964" w:rsidP="00E47BA8">
      <w:pPr>
        <w:spacing w:line="480" w:lineRule="auto"/>
        <w:contextualSpacing/>
        <w:jc w:val="both"/>
        <w:rPr>
          <w:rFonts w:ascii="Trebuchet MS" w:hAnsi="Trebuchet MS"/>
          <w:spacing w:val="20"/>
        </w:rPr>
      </w:pPr>
    </w:p>
    <w:p w14:paraId="1B1F89F2" w14:textId="40CF8631" w:rsidR="00F62766" w:rsidRDefault="004E5595" w:rsidP="00E47BA8">
      <w:pPr>
        <w:spacing w:line="480" w:lineRule="auto"/>
        <w:contextualSpacing/>
        <w:jc w:val="both"/>
        <w:rPr>
          <w:rFonts w:ascii="Trebuchet MS" w:hAnsi="Trebuchet MS"/>
          <w:spacing w:val="20"/>
        </w:rPr>
      </w:pPr>
      <w:r>
        <w:rPr>
          <w:rFonts w:ascii="Trebuchet MS" w:hAnsi="Trebuchet MS"/>
          <w:spacing w:val="20"/>
        </w:rPr>
        <w:t>Section 285</w:t>
      </w:r>
      <w:r w:rsidR="00F62766">
        <w:rPr>
          <w:rFonts w:ascii="Trebuchet MS" w:hAnsi="Trebuchet MS"/>
          <w:spacing w:val="20"/>
        </w:rPr>
        <w:t>(1) and (</w:t>
      </w:r>
      <w:r w:rsidR="00BE20DD">
        <w:rPr>
          <w:rFonts w:ascii="Trebuchet MS" w:hAnsi="Trebuchet MS"/>
          <w:spacing w:val="20"/>
        </w:rPr>
        <w:t>2)</w:t>
      </w:r>
      <w:r>
        <w:rPr>
          <w:rFonts w:ascii="Trebuchet MS" w:hAnsi="Trebuchet MS"/>
          <w:spacing w:val="20"/>
        </w:rPr>
        <w:t xml:space="preserve"> of the 1999 Constitution </w:t>
      </w:r>
      <w:r w:rsidR="00F62766">
        <w:rPr>
          <w:rFonts w:ascii="Trebuchet MS" w:hAnsi="Trebuchet MS"/>
          <w:spacing w:val="20"/>
        </w:rPr>
        <w:t>establishes election tribunals for determination of election petitions. The said section 285</w:t>
      </w:r>
      <w:r w:rsidR="00BE20DD">
        <w:rPr>
          <w:rFonts w:ascii="Trebuchet MS" w:hAnsi="Trebuchet MS"/>
          <w:spacing w:val="20"/>
        </w:rPr>
        <w:t>(1) and (2) provides thus:</w:t>
      </w:r>
    </w:p>
    <w:p w14:paraId="08E1748E" w14:textId="77777777" w:rsidR="00BE3039" w:rsidRDefault="0041325D" w:rsidP="00E47BA8">
      <w:pPr>
        <w:spacing w:line="480" w:lineRule="auto"/>
        <w:ind w:left="1440"/>
        <w:contextualSpacing/>
        <w:jc w:val="both"/>
        <w:rPr>
          <w:rFonts w:ascii="Trebuchet MS" w:hAnsi="Trebuchet MS"/>
          <w:spacing w:val="20"/>
        </w:rPr>
      </w:pPr>
      <w:r>
        <w:rPr>
          <w:rFonts w:ascii="Trebuchet MS" w:hAnsi="Trebuchet MS"/>
          <w:spacing w:val="20"/>
        </w:rPr>
        <w:t>(1) There shall be established for each State of the Federation and the Federal Capital Territory, one or more election tribunals</w:t>
      </w:r>
      <w:r w:rsidR="00804FD9">
        <w:rPr>
          <w:rFonts w:ascii="Trebuchet MS" w:hAnsi="Trebuchet MS"/>
          <w:spacing w:val="20"/>
        </w:rPr>
        <w:t xml:space="preserve"> to be known as the National</w:t>
      </w:r>
      <w:r w:rsidR="00BE3039">
        <w:rPr>
          <w:rFonts w:ascii="Trebuchet MS" w:hAnsi="Trebuchet MS"/>
          <w:spacing w:val="20"/>
        </w:rPr>
        <w:t xml:space="preserve"> and State Houses of Assembly Election Tribunals which shall, to the exclusion of any Court or tribunal, have original jurisdiction to hear and determine petitions as to whether-</w:t>
      </w:r>
    </w:p>
    <w:p w14:paraId="662D8C99" w14:textId="77777777" w:rsidR="00BE3039" w:rsidRDefault="00BE3039" w:rsidP="00E47BA8">
      <w:pPr>
        <w:spacing w:line="480" w:lineRule="auto"/>
        <w:ind w:left="2160"/>
        <w:contextualSpacing/>
        <w:jc w:val="both"/>
        <w:rPr>
          <w:rFonts w:ascii="Trebuchet MS" w:hAnsi="Trebuchet MS"/>
          <w:spacing w:val="20"/>
        </w:rPr>
      </w:pPr>
      <w:r>
        <w:rPr>
          <w:rFonts w:ascii="Trebuchet MS" w:hAnsi="Trebuchet MS"/>
          <w:spacing w:val="20"/>
        </w:rPr>
        <w:t>(a) any person has been validly elected as a member of the National Assembly; or</w:t>
      </w:r>
    </w:p>
    <w:p w14:paraId="7C35B954" w14:textId="77777777" w:rsidR="00BE3039" w:rsidRDefault="00BE3039" w:rsidP="00E47BA8">
      <w:pPr>
        <w:spacing w:line="480" w:lineRule="auto"/>
        <w:ind w:left="2160"/>
        <w:contextualSpacing/>
        <w:jc w:val="both"/>
        <w:rPr>
          <w:rFonts w:ascii="Trebuchet MS" w:hAnsi="Trebuchet MS"/>
          <w:spacing w:val="20"/>
        </w:rPr>
      </w:pPr>
      <w:r>
        <w:rPr>
          <w:rFonts w:ascii="Trebuchet MS" w:hAnsi="Trebuchet MS"/>
          <w:spacing w:val="20"/>
        </w:rPr>
        <w:t>(b) any person has been validly elected as a member of the House of Assembly of a State.</w:t>
      </w:r>
    </w:p>
    <w:p w14:paraId="35D83FD5" w14:textId="3420B16E" w:rsidR="00BE20DD" w:rsidRDefault="00BE3039" w:rsidP="00E47BA8">
      <w:pPr>
        <w:spacing w:line="480" w:lineRule="auto"/>
        <w:ind w:left="1440"/>
        <w:contextualSpacing/>
        <w:jc w:val="both"/>
        <w:rPr>
          <w:rFonts w:ascii="Trebuchet MS" w:hAnsi="Trebuchet MS"/>
          <w:spacing w:val="20"/>
        </w:rPr>
      </w:pPr>
      <w:r>
        <w:rPr>
          <w:rFonts w:ascii="Trebuchet MS" w:hAnsi="Trebuchet MS"/>
          <w:spacing w:val="20"/>
        </w:rPr>
        <w:t>(2) There shal</w:t>
      </w:r>
      <w:r w:rsidR="002A7B4E">
        <w:rPr>
          <w:rFonts w:ascii="Trebuchet MS" w:hAnsi="Trebuchet MS"/>
          <w:spacing w:val="20"/>
        </w:rPr>
        <w:t>l</w:t>
      </w:r>
      <w:r>
        <w:rPr>
          <w:rFonts w:ascii="Trebuchet MS" w:hAnsi="Trebuchet MS"/>
          <w:spacing w:val="20"/>
        </w:rPr>
        <w:t xml:space="preserve"> be established in each State of the Federation an election tribunal to be known as the Governorship Election Tribunal which shall, to the exclusion of any court or tribunal, have original jurisdiction to hear and determine petitions as to whether any person has been validly elected to the office of Governor or Deputy Governor of a State.</w:t>
      </w:r>
      <w:r w:rsidR="0041325D">
        <w:rPr>
          <w:rFonts w:ascii="Trebuchet MS" w:hAnsi="Trebuchet MS"/>
          <w:spacing w:val="20"/>
        </w:rPr>
        <w:t xml:space="preserve"> </w:t>
      </w:r>
    </w:p>
    <w:p w14:paraId="3EFE6759" w14:textId="77777777" w:rsidR="00BE20DD" w:rsidRPr="002A7B4E" w:rsidRDefault="00BE20DD" w:rsidP="00E47BA8">
      <w:pPr>
        <w:spacing w:line="480" w:lineRule="auto"/>
        <w:contextualSpacing/>
        <w:jc w:val="both"/>
        <w:rPr>
          <w:rFonts w:ascii="Trebuchet MS" w:hAnsi="Trebuchet MS"/>
          <w:spacing w:val="20"/>
          <w:sz w:val="18"/>
        </w:rPr>
      </w:pPr>
    </w:p>
    <w:p w14:paraId="745BDCDD" w14:textId="3DAF47CD" w:rsidR="00BE20DD" w:rsidRDefault="00BE20DD" w:rsidP="00E47BA8">
      <w:pPr>
        <w:spacing w:line="480" w:lineRule="auto"/>
        <w:contextualSpacing/>
        <w:jc w:val="both"/>
        <w:rPr>
          <w:rFonts w:ascii="Trebuchet MS" w:hAnsi="Trebuchet MS"/>
          <w:spacing w:val="20"/>
        </w:rPr>
      </w:pPr>
      <w:r>
        <w:rPr>
          <w:rFonts w:ascii="Trebuchet MS" w:hAnsi="Trebuchet MS"/>
          <w:spacing w:val="20"/>
        </w:rPr>
        <w:t xml:space="preserve">From the above provisions, it is obvious that two election tribunals </w:t>
      </w:r>
      <w:r w:rsidR="00B90AFF">
        <w:rPr>
          <w:rFonts w:ascii="Trebuchet MS" w:hAnsi="Trebuchet MS"/>
          <w:spacing w:val="20"/>
        </w:rPr>
        <w:t>were</w:t>
      </w:r>
      <w:r>
        <w:rPr>
          <w:rFonts w:ascii="Trebuchet MS" w:hAnsi="Trebuchet MS"/>
          <w:spacing w:val="20"/>
        </w:rPr>
        <w:t xml:space="preserve"> created which are</w:t>
      </w:r>
      <w:r w:rsidR="002A7B4E">
        <w:rPr>
          <w:rFonts w:ascii="Trebuchet MS" w:hAnsi="Trebuchet MS"/>
          <w:spacing w:val="20"/>
        </w:rPr>
        <w:t>:</w:t>
      </w:r>
    </w:p>
    <w:p w14:paraId="0EF65A10" w14:textId="77777777" w:rsidR="002A7B4E" w:rsidRDefault="00F62766" w:rsidP="00E47BA8">
      <w:pPr>
        <w:pStyle w:val="ListParagraph"/>
        <w:numPr>
          <w:ilvl w:val="0"/>
          <w:numId w:val="3"/>
        </w:numPr>
        <w:spacing w:line="480" w:lineRule="auto"/>
        <w:jc w:val="both"/>
        <w:rPr>
          <w:rFonts w:ascii="Trebuchet MS" w:hAnsi="Trebuchet MS"/>
          <w:spacing w:val="20"/>
        </w:rPr>
      </w:pPr>
      <w:r w:rsidRPr="00F62766">
        <w:rPr>
          <w:rFonts w:ascii="Trebuchet MS" w:hAnsi="Trebuchet MS"/>
          <w:spacing w:val="20"/>
        </w:rPr>
        <w:t xml:space="preserve">The National and State Houses of Assembly Election Tribunals and </w:t>
      </w:r>
    </w:p>
    <w:p w14:paraId="23F344E5" w14:textId="1BE9BDCE" w:rsidR="007200FA" w:rsidRPr="002A7B4E" w:rsidRDefault="00F62766" w:rsidP="00E47BA8">
      <w:pPr>
        <w:pStyle w:val="ListParagraph"/>
        <w:numPr>
          <w:ilvl w:val="0"/>
          <w:numId w:val="3"/>
        </w:numPr>
        <w:spacing w:line="480" w:lineRule="auto"/>
        <w:jc w:val="both"/>
        <w:rPr>
          <w:rFonts w:ascii="Trebuchet MS" w:hAnsi="Trebuchet MS"/>
          <w:spacing w:val="20"/>
        </w:rPr>
      </w:pPr>
      <w:r w:rsidRPr="002A7B4E">
        <w:rPr>
          <w:rFonts w:ascii="Trebuchet MS" w:hAnsi="Trebuchet MS"/>
          <w:spacing w:val="20"/>
        </w:rPr>
        <w:t>The Governorship Election Tribunals</w:t>
      </w:r>
      <w:r w:rsidR="00E4530B" w:rsidRPr="002A7B4E">
        <w:rPr>
          <w:rFonts w:ascii="Trebuchet MS" w:hAnsi="Trebuchet MS"/>
          <w:spacing w:val="20"/>
        </w:rPr>
        <w:t xml:space="preserve">. </w:t>
      </w:r>
    </w:p>
    <w:p w14:paraId="019C5449" w14:textId="77777777" w:rsidR="002A7B4E" w:rsidRDefault="002A7B4E" w:rsidP="00E47BA8">
      <w:pPr>
        <w:spacing w:line="480" w:lineRule="auto"/>
        <w:contextualSpacing/>
        <w:jc w:val="both"/>
        <w:rPr>
          <w:rFonts w:ascii="Trebuchet MS" w:hAnsi="Trebuchet MS"/>
          <w:spacing w:val="20"/>
        </w:rPr>
      </w:pPr>
    </w:p>
    <w:p w14:paraId="3E66368E" w14:textId="3DC049A7" w:rsidR="00F62766" w:rsidRDefault="00707DBD" w:rsidP="00E47BA8">
      <w:pPr>
        <w:spacing w:line="480" w:lineRule="auto"/>
        <w:contextualSpacing/>
        <w:jc w:val="both"/>
        <w:rPr>
          <w:rFonts w:ascii="Trebuchet MS" w:hAnsi="Trebuchet MS"/>
          <w:spacing w:val="20"/>
        </w:rPr>
      </w:pPr>
      <w:r>
        <w:rPr>
          <w:rFonts w:ascii="Trebuchet MS" w:hAnsi="Trebuchet MS"/>
          <w:spacing w:val="20"/>
        </w:rPr>
        <w:t>While t</w:t>
      </w:r>
      <w:r w:rsidR="00B02BAA">
        <w:rPr>
          <w:rFonts w:ascii="Trebuchet MS" w:hAnsi="Trebuchet MS"/>
          <w:spacing w:val="20"/>
        </w:rPr>
        <w:t>he N</w:t>
      </w:r>
      <w:r w:rsidR="00F62766">
        <w:rPr>
          <w:rFonts w:ascii="Trebuchet MS" w:hAnsi="Trebuchet MS"/>
          <w:spacing w:val="20"/>
        </w:rPr>
        <w:t xml:space="preserve">ational and State Houses of Assembly Election Tribunals determines petitions </w:t>
      </w:r>
      <w:r w:rsidR="00F62766" w:rsidRPr="00F62766">
        <w:rPr>
          <w:rFonts w:ascii="Trebuchet MS" w:hAnsi="Trebuchet MS"/>
          <w:spacing w:val="20"/>
        </w:rPr>
        <w:t>as to whether any person has been validly elected as a member of the National Assembly or House of Assembly of a State</w:t>
      </w:r>
      <w:r>
        <w:rPr>
          <w:rFonts w:ascii="Trebuchet MS" w:hAnsi="Trebuchet MS"/>
          <w:spacing w:val="20"/>
        </w:rPr>
        <w:t>, t</w:t>
      </w:r>
      <w:r w:rsidR="00F62766">
        <w:rPr>
          <w:rFonts w:ascii="Trebuchet MS" w:hAnsi="Trebuchet MS"/>
          <w:spacing w:val="20"/>
        </w:rPr>
        <w:t>he Governorship Election Tribunals determine petitions as to whether any person has been validly elected to th</w:t>
      </w:r>
      <w:r w:rsidR="00B02BAA">
        <w:rPr>
          <w:rFonts w:ascii="Trebuchet MS" w:hAnsi="Trebuchet MS"/>
          <w:spacing w:val="20"/>
        </w:rPr>
        <w:t>e office of Governor or Deputy G</w:t>
      </w:r>
      <w:r w:rsidR="00F62766">
        <w:rPr>
          <w:rFonts w:ascii="Trebuchet MS" w:hAnsi="Trebuchet MS"/>
          <w:spacing w:val="20"/>
        </w:rPr>
        <w:t>overnor of a State.</w:t>
      </w:r>
      <w:r w:rsidR="00531964">
        <w:rPr>
          <w:rFonts w:ascii="Trebuchet MS" w:hAnsi="Trebuchet MS"/>
          <w:spacing w:val="20"/>
        </w:rPr>
        <w:t xml:space="preserve"> </w:t>
      </w:r>
    </w:p>
    <w:p w14:paraId="62C5BF1D" w14:textId="77777777" w:rsidR="00E55028" w:rsidRDefault="00E55028" w:rsidP="00E47BA8">
      <w:pPr>
        <w:spacing w:line="480" w:lineRule="auto"/>
        <w:contextualSpacing/>
        <w:jc w:val="both"/>
        <w:rPr>
          <w:rFonts w:ascii="Trebuchet MS" w:hAnsi="Trebuchet MS"/>
          <w:spacing w:val="20"/>
        </w:rPr>
      </w:pPr>
    </w:p>
    <w:p w14:paraId="16079D59" w14:textId="50B2E1D2" w:rsidR="007832BD" w:rsidRDefault="002B6285" w:rsidP="00E47BA8">
      <w:pPr>
        <w:spacing w:line="480" w:lineRule="auto"/>
        <w:contextualSpacing/>
        <w:jc w:val="both"/>
        <w:rPr>
          <w:rFonts w:ascii="Trebuchet MS" w:hAnsi="Trebuchet MS"/>
          <w:spacing w:val="20"/>
        </w:rPr>
      </w:pPr>
      <w:r>
        <w:rPr>
          <w:rFonts w:ascii="Trebuchet MS" w:hAnsi="Trebuchet MS"/>
          <w:spacing w:val="20"/>
        </w:rPr>
        <w:t xml:space="preserve">With regard to whether any person has been validly elected to the office of </w:t>
      </w:r>
      <w:r w:rsidR="003F348D">
        <w:rPr>
          <w:rFonts w:ascii="Trebuchet MS" w:hAnsi="Trebuchet MS"/>
          <w:spacing w:val="20"/>
        </w:rPr>
        <w:t xml:space="preserve">the </w:t>
      </w:r>
      <w:r>
        <w:rPr>
          <w:rFonts w:ascii="Trebuchet MS" w:hAnsi="Trebuchet MS"/>
          <w:spacing w:val="20"/>
        </w:rPr>
        <w:t xml:space="preserve">President or Vice-President, it is the Court of Appeal, by virtue of section 239(1)(a) of the 1999 Constitution, that has original jurisdiction to hear and determine an election petition in that regard. </w:t>
      </w:r>
      <w:r w:rsidR="000A0AB1">
        <w:rPr>
          <w:rFonts w:ascii="Trebuchet MS" w:hAnsi="Trebuchet MS"/>
          <w:spacing w:val="20"/>
        </w:rPr>
        <w:t>The said section 239(1)(a) of the 1999 Constitution provides thus:</w:t>
      </w:r>
      <w:r w:rsidR="003B3383">
        <w:rPr>
          <w:rFonts w:ascii="Trebuchet MS" w:hAnsi="Trebuchet MS"/>
          <w:spacing w:val="20"/>
        </w:rPr>
        <w:t xml:space="preserve"> </w:t>
      </w:r>
    </w:p>
    <w:p w14:paraId="6C16EB07" w14:textId="4627FAA2" w:rsidR="003B3383" w:rsidRDefault="00E66E06" w:rsidP="00E47BA8">
      <w:pPr>
        <w:spacing w:line="480" w:lineRule="auto"/>
        <w:ind w:left="1440"/>
        <w:contextualSpacing/>
        <w:jc w:val="both"/>
        <w:rPr>
          <w:rFonts w:ascii="Trebuchet MS" w:hAnsi="Trebuchet MS"/>
          <w:spacing w:val="20"/>
        </w:rPr>
      </w:pPr>
      <w:r>
        <w:rPr>
          <w:rFonts w:ascii="Trebuchet MS" w:hAnsi="Trebuchet MS"/>
          <w:spacing w:val="20"/>
        </w:rPr>
        <w:t>“</w:t>
      </w:r>
      <w:r w:rsidR="003B3383">
        <w:rPr>
          <w:rFonts w:ascii="Trebuchet MS" w:hAnsi="Trebuchet MS"/>
          <w:spacing w:val="20"/>
        </w:rPr>
        <w:t>(1) Subject to the provisions of this Constitution, the Court of Appeal shall, to the exclusion of any other court of law in Nigeria, have original jurisdiction to hear and determine any question as to whether</w:t>
      </w:r>
      <w:r>
        <w:rPr>
          <w:rFonts w:ascii="Trebuchet MS" w:hAnsi="Trebuchet MS"/>
          <w:spacing w:val="20"/>
        </w:rPr>
        <w:t>-</w:t>
      </w:r>
    </w:p>
    <w:p w14:paraId="28B4ABD6" w14:textId="0BFA9215" w:rsidR="00E66E06" w:rsidRDefault="00E66E06" w:rsidP="00E47BA8">
      <w:pPr>
        <w:spacing w:line="480" w:lineRule="auto"/>
        <w:ind w:left="2160"/>
        <w:contextualSpacing/>
        <w:jc w:val="both"/>
        <w:rPr>
          <w:rFonts w:ascii="Trebuchet MS" w:hAnsi="Trebuchet MS"/>
          <w:spacing w:val="20"/>
        </w:rPr>
      </w:pPr>
      <w:r>
        <w:rPr>
          <w:rFonts w:ascii="Trebuchet MS" w:hAnsi="Trebuchet MS"/>
          <w:spacing w:val="20"/>
        </w:rPr>
        <w:t>(a) any person has been validly elected to the office of President or Vice-President under this Constitution;”</w:t>
      </w:r>
    </w:p>
    <w:p w14:paraId="0DED9D5A" w14:textId="77777777" w:rsidR="00A613DF" w:rsidRDefault="00A613DF" w:rsidP="00E47BA8">
      <w:pPr>
        <w:spacing w:line="480" w:lineRule="auto"/>
        <w:ind w:left="2160"/>
        <w:contextualSpacing/>
        <w:jc w:val="both"/>
        <w:rPr>
          <w:rFonts w:ascii="Trebuchet MS" w:hAnsi="Trebuchet MS"/>
          <w:spacing w:val="20"/>
        </w:rPr>
      </w:pPr>
    </w:p>
    <w:p w14:paraId="2B9A6785" w14:textId="73DC99D8" w:rsidR="007D0C79" w:rsidRDefault="007D0C79" w:rsidP="00E47BA8">
      <w:pPr>
        <w:spacing w:line="480" w:lineRule="auto"/>
        <w:contextualSpacing/>
        <w:jc w:val="both"/>
        <w:rPr>
          <w:rFonts w:ascii="Trebuchet MS" w:hAnsi="Trebuchet MS"/>
          <w:spacing w:val="20"/>
        </w:rPr>
      </w:pPr>
      <w:r>
        <w:rPr>
          <w:rFonts w:ascii="Trebuchet MS" w:hAnsi="Trebuchet MS"/>
          <w:spacing w:val="20"/>
        </w:rPr>
        <w:t>An election petition before the</w:t>
      </w:r>
      <w:r w:rsidRPr="00F62766">
        <w:rPr>
          <w:rFonts w:ascii="Trebuchet MS" w:hAnsi="Trebuchet MS"/>
          <w:spacing w:val="20"/>
        </w:rPr>
        <w:t xml:space="preserve"> National and State Houses of Assembly Election Tribunals</w:t>
      </w:r>
      <w:r>
        <w:rPr>
          <w:rFonts w:ascii="Trebuchet MS" w:hAnsi="Trebuchet MS"/>
          <w:spacing w:val="20"/>
        </w:rPr>
        <w:t xml:space="preserve">, </w:t>
      </w:r>
      <w:r w:rsidR="0068619A">
        <w:rPr>
          <w:rFonts w:ascii="Trebuchet MS" w:hAnsi="Trebuchet MS"/>
          <w:spacing w:val="20"/>
        </w:rPr>
        <w:t>t</w:t>
      </w:r>
      <w:r w:rsidRPr="002A7B4E">
        <w:rPr>
          <w:rFonts w:ascii="Trebuchet MS" w:hAnsi="Trebuchet MS"/>
          <w:spacing w:val="20"/>
        </w:rPr>
        <w:t>he Governorship Election Tribunals</w:t>
      </w:r>
      <w:r>
        <w:rPr>
          <w:rFonts w:ascii="Trebuchet MS" w:hAnsi="Trebuchet MS"/>
          <w:spacing w:val="20"/>
        </w:rPr>
        <w:t xml:space="preserve"> and The Court of Appeal shall be filed within 21 days after the date of the declaration of result of the election.</w:t>
      </w:r>
      <w:r>
        <w:rPr>
          <w:rStyle w:val="FootnoteReference"/>
          <w:rFonts w:ascii="Trebuchet MS" w:hAnsi="Trebuchet MS"/>
          <w:spacing w:val="20"/>
        </w:rPr>
        <w:footnoteReference w:id="31"/>
      </w:r>
    </w:p>
    <w:p w14:paraId="21BE975D" w14:textId="77777777" w:rsidR="007D0C79" w:rsidRDefault="007D0C79" w:rsidP="00E47BA8">
      <w:pPr>
        <w:spacing w:line="480" w:lineRule="auto"/>
        <w:contextualSpacing/>
        <w:jc w:val="both"/>
        <w:rPr>
          <w:rFonts w:ascii="Trebuchet MS" w:hAnsi="Trebuchet MS"/>
          <w:spacing w:val="20"/>
        </w:rPr>
      </w:pPr>
    </w:p>
    <w:p w14:paraId="1F6059DC" w14:textId="68052CC4" w:rsidR="00FE056C" w:rsidRDefault="007351CB" w:rsidP="00E47BA8">
      <w:pPr>
        <w:spacing w:line="480" w:lineRule="auto"/>
        <w:contextualSpacing/>
        <w:jc w:val="both"/>
        <w:rPr>
          <w:rFonts w:ascii="Trebuchet MS" w:hAnsi="Trebuchet MS"/>
          <w:spacing w:val="20"/>
        </w:rPr>
      </w:pPr>
      <w:r>
        <w:rPr>
          <w:rFonts w:ascii="Trebuchet MS" w:hAnsi="Trebuchet MS"/>
          <w:spacing w:val="20"/>
        </w:rPr>
        <w:t>In view of the fact that the word “</w:t>
      </w:r>
      <w:r w:rsidR="003E1888">
        <w:rPr>
          <w:rFonts w:ascii="Trebuchet MS" w:hAnsi="Trebuchet MS"/>
          <w:spacing w:val="20"/>
        </w:rPr>
        <w:t xml:space="preserve">election </w:t>
      </w:r>
      <w:r>
        <w:rPr>
          <w:rFonts w:ascii="Trebuchet MS" w:hAnsi="Trebuchet MS"/>
          <w:spacing w:val="20"/>
        </w:rPr>
        <w:t>pet</w:t>
      </w:r>
      <w:r w:rsidR="003E1888">
        <w:rPr>
          <w:rFonts w:ascii="Trebuchet MS" w:hAnsi="Trebuchet MS"/>
          <w:spacing w:val="20"/>
        </w:rPr>
        <w:t xml:space="preserve">ition” </w:t>
      </w:r>
      <w:r w:rsidR="00F5206D">
        <w:rPr>
          <w:rFonts w:ascii="Trebuchet MS" w:hAnsi="Trebuchet MS"/>
          <w:spacing w:val="20"/>
        </w:rPr>
        <w:t>is</w:t>
      </w:r>
      <w:r w:rsidR="003E1888">
        <w:rPr>
          <w:rFonts w:ascii="Trebuchet MS" w:hAnsi="Trebuchet MS"/>
          <w:spacing w:val="20"/>
        </w:rPr>
        <w:t xml:space="preserve"> used in Section 285(5</w:t>
      </w:r>
      <w:r>
        <w:rPr>
          <w:rFonts w:ascii="Trebuchet MS" w:hAnsi="Trebuchet MS"/>
          <w:spacing w:val="20"/>
        </w:rPr>
        <w:t>)</w:t>
      </w:r>
      <w:r w:rsidR="003E1888">
        <w:rPr>
          <w:rFonts w:ascii="Trebuchet MS" w:hAnsi="Trebuchet MS"/>
          <w:spacing w:val="20"/>
        </w:rPr>
        <w:t xml:space="preserve"> of the 1999 Constitution, it</w:t>
      </w:r>
      <w:r w:rsidR="003F348D">
        <w:rPr>
          <w:rFonts w:ascii="Trebuchet MS" w:hAnsi="Trebuchet MS"/>
          <w:spacing w:val="20"/>
        </w:rPr>
        <w:t xml:space="preserve"> is </w:t>
      </w:r>
      <w:r w:rsidR="003E1888">
        <w:rPr>
          <w:rFonts w:ascii="Trebuchet MS" w:hAnsi="Trebuchet MS"/>
          <w:spacing w:val="20"/>
        </w:rPr>
        <w:t>germane</w:t>
      </w:r>
      <w:r w:rsidR="003F348D">
        <w:rPr>
          <w:rFonts w:ascii="Trebuchet MS" w:hAnsi="Trebuchet MS"/>
          <w:spacing w:val="20"/>
        </w:rPr>
        <w:t xml:space="preserve"> at this point</w:t>
      </w:r>
      <w:r>
        <w:rPr>
          <w:rFonts w:ascii="Trebuchet MS" w:hAnsi="Trebuchet MS"/>
          <w:spacing w:val="20"/>
        </w:rPr>
        <w:t xml:space="preserve"> to</w:t>
      </w:r>
      <w:r w:rsidR="00F5206D">
        <w:rPr>
          <w:rFonts w:ascii="Trebuchet MS" w:hAnsi="Trebuchet MS"/>
          <w:spacing w:val="20"/>
        </w:rPr>
        <w:t xml:space="preserve"> appreciate</w:t>
      </w:r>
      <w:r>
        <w:rPr>
          <w:rFonts w:ascii="Trebuchet MS" w:hAnsi="Trebuchet MS"/>
          <w:spacing w:val="20"/>
        </w:rPr>
        <w:t xml:space="preserve"> </w:t>
      </w:r>
      <w:r w:rsidR="003E1888">
        <w:rPr>
          <w:rFonts w:ascii="Trebuchet MS" w:hAnsi="Trebuchet MS"/>
          <w:spacing w:val="20"/>
        </w:rPr>
        <w:t>the meaning of election petition.</w:t>
      </w:r>
    </w:p>
    <w:p w14:paraId="5826A263" w14:textId="77777777" w:rsidR="00B451AB" w:rsidRDefault="00B451AB" w:rsidP="00E47BA8">
      <w:pPr>
        <w:spacing w:line="480" w:lineRule="auto"/>
        <w:contextualSpacing/>
        <w:jc w:val="both"/>
        <w:rPr>
          <w:rFonts w:ascii="Trebuchet MS" w:hAnsi="Trebuchet MS"/>
          <w:spacing w:val="20"/>
        </w:rPr>
      </w:pPr>
    </w:p>
    <w:p w14:paraId="5D3097F7" w14:textId="1B5C3621" w:rsidR="00B451AB" w:rsidRDefault="0004550A" w:rsidP="00E47BA8">
      <w:pPr>
        <w:spacing w:line="480" w:lineRule="auto"/>
        <w:contextualSpacing/>
        <w:jc w:val="both"/>
        <w:rPr>
          <w:rFonts w:ascii="Trebuchet MS" w:hAnsi="Trebuchet MS"/>
          <w:spacing w:val="20"/>
        </w:rPr>
      </w:pPr>
      <w:r>
        <w:rPr>
          <w:rFonts w:ascii="Trebuchet MS" w:hAnsi="Trebuchet MS"/>
          <w:spacing w:val="20"/>
        </w:rPr>
        <w:t xml:space="preserve">In the case of </w:t>
      </w:r>
      <w:r w:rsidRPr="00177E6E">
        <w:rPr>
          <w:rFonts w:ascii="Trebuchet MS" w:hAnsi="Trebuchet MS"/>
          <w:b/>
          <w:i/>
          <w:spacing w:val="20"/>
        </w:rPr>
        <w:t>A.N.P.P. v. I.N.E.C</w:t>
      </w:r>
      <w:r>
        <w:rPr>
          <w:rStyle w:val="FootnoteReference"/>
          <w:rFonts w:ascii="Trebuchet MS" w:hAnsi="Trebuchet MS"/>
          <w:spacing w:val="20"/>
        </w:rPr>
        <w:footnoteReference w:id="32"/>
      </w:r>
      <w:r>
        <w:rPr>
          <w:rFonts w:ascii="Trebuchet MS" w:hAnsi="Trebuchet MS"/>
          <w:spacing w:val="20"/>
        </w:rPr>
        <w:t xml:space="preserve"> the meaning of election petition was stated by Mohammed JCA as follows:</w:t>
      </w:r>
    </w:p>
    <w:p w14:paraId="3B955539" w14:textId="7BE634AC" w:rsidR="0004550A" w:rsidRDefault="008748A1" w:rsidP="00E47BA8">
      <w:pPr>
        <w:spacing w:line="480" w:lineRule="auto"/>
        <w:ind w:left="2160"/>
        <w:contextualSpacing/>
        <w:jc w:val="both"/>
        <w:rPr>
          <w:rFonts w:ascii="Trebuchet MS" w:hAnsi="Trebuchet MS"/>
          <w:spacing w:val="20"/>
        </w:rPr>
      </w:pPr>
      <w:r>
        <w:rPr>
          <w:rFonts w:ascii="Trebuchet MS" w:hAnsi="Trebuchet MS"/>
          <w:spacing w:val="20"/>
        </w:rPr>
        <w:t>“What constitutes an election petition therefore is a complaint by the petitioner against an undue election or return of a successful candidate at the election</w:t>
      </w:r>
      <w:r w:rsidR="003112D9">
        <w:rPr>
          <w:rFonts w:ascii="Trebuchet MS" w:hAnsi="Trebuchet MS"/>
          <w:spacing w:val="20"/>
        </w:rPr>
        <w:t>”</w:t>
      </w:r>
    </w:p>
    <w:p w14:paraId="1A091FF7" w14:textId="77777777" w:rsidR="00C22964" w:rsidRDefault="00C22964" w:rsidP="00E47BA8">
      <w:pPr>
        <w:spacing w:line="480" w:lineRule="auto"/>
        <w:contextualSpacing/>
        <w:jc w:val="both"/>
        <w:rPr>
          <w:rFonts w:ascii="Trebuchet MS" w:hAnsi="Trebuchet MS"/>
          <w:spacing w:val="20"/>
        </w:rPr>
      </w:pPr>
    </w:p>
    <w:p w14:paraId="6155E159" w14:textId="4FCAA78C" w:rsidR="0004550A" w:rsidRDefault="00F5206D" w:rsidP="00E47BA8">
      <w:pPr>
        <w:spacing w:line="480" w:lineRule="auto"/>
        <w:contextualSpacing/>
        <w:jc w:val="both"/>
        <w:rPr>
          <w:rFonts w:ascii="Trebuchet MS" w:hAnsi="Trebuchet MS"/>
          <w:spacing w:val="20"/>
        </w:rPr>
      </w:pPr>
      <w:r>
        <w:rPr>
          <w:rFonts w:ascii="Trebuchet MS" w:hAnsi="Trebuchet MS"/>
          <w:spacing w:val="20"/>
        </w:rPr>
        <w:t xml:space="preserve">In the same vein, </w:t>
      </w:r>
      <w:r w:rsidR="003112D9">
        <w:rPr>
          <w:rFonts w:ascii="Trebuchet MS" w:hAnsi="Trebuchet MS"/>
          <w:spacing w:val="20"/>
        </w:rPr>
        <w:t>Sagay</w:t>
      </w:r>
      <w:r w:rsidR="003112D9">
        <w:rPr>
          <w:rStyle w:val="FootnoteReference"/>
          <w:rFonts w:ascii="Trebuchet MS" w:hAnsi="Trebuchet MS"/>
          <w:spacing w:val="20"/>
        </w:rPr>
        <w:footnoteReference w:id="33"/>
      </w:r>
      <w:r w:rsidR="007B00B9">
        <w:rPr>
          <w:rFonts w:ascii="Trebuchet MS" w:hAnsi="Trebuchet MS"/>
          <w:spacing w:val="20"/>
        </w:rPr>
        <w:t xml:space="preserve"> defines election petition</w:t>
      </w:r>
      <w:r w:rsidR="002940F8">
        <w:rPr>
          <w:rFonts w:ascii="Trebuchet MS" w:hAnsi="Trebuchet MS"/>
          <w:spacing w:val="20"/>
        </w:rPr>
        <w:t xml:space="preserve"> as follows:</w:t>
      </w:r>
    </w:p>
    <w:p w14:paraId="30B43140" w14:textId="4CD9CC07" w:rsidR="002940F8" w:rsidRDefault="002940F8" w:rsidP="00E47BA8">
      <w:pPr>
        <w:spacing w:line="480" w:lineRule="auto"/>
        <w:ind w:left="2160"/>
        <w:contextualSpacing/>
        <w:jc w:val="both"/>
        <w:rPr>
          <w:rFonts w:ascii="Trebuchet MS" w:hAnsi="Trebuchet MS"/>
          <w:spacing w:val="20"/>
        </w:rPr>
      </w:pPr>
      <w:r>
        <w:rPr>
          <w:rFonts w:ascii="Trebuchet MS" w:hAnsi="Trebuchet MS"/>
          <w:spacing w:val="20"/>
        </w:rPr>
        <w:t>“An election petition may simply be defined as a complaint of an undue return or undue election lodged before a competent forum (tribunal or court) pursuant to the provisions of the Constitution and the Electoral Act.”</w:t>
      </w:r>
    </w:p>
    <w:p w14:paraId="37859099" w14:textId="77777777" w:rsidR="00C22964" w:rsidRDefault="00C22964" w:rsidP="00E47BA8">
      <w:pPr>
        <w:spacing w:line="480" w:lineRule="auto"/>
        <w:contextualSpacing/>
        <w:jc w:val="both"/>
        <w:rPr>
          <w:rFonts w:ascii="Trebuchet MS" w:hAnsi="Trebuchet MS"/>
          <w:spacing w:val="20"/>
        </w:rPr>
      </w:pPr>
    </w:p>
    <w:p w14:paraId="79ABF991" w14:textId="14601F61" w:rsidR="00E90145" w:rsidRDefault="00252BA9" w:rsidP="00E47BA8">
      <w:pPr>
        <w:spacing w:line="480" w:lineRule="auto"/>
        <w:contextualSpacing/>
        <w:jc w:val="both"/>
        <w:rPr>
          <w:rFonts w:ascii="Trebuchet MS" w:hAnsi="Trebuchet MS"/>
          <w:spacing w:val="20"/>
        </w:rPr>
      </w:pPr>
      <w:r>
        <w:rPr>
          <w:rFonts w:ascii="Trebuchet MS" w:hAnsi="Trebuchet MS"/>
          <w:spacing w:val="20"/>
        </w:rPr>
        <w:t>From  the above definitions of ele</w:t>
      </w:r>
      <w:r w:rsidR="00A9461E">
        <w:rPr>
          <w:rFonts w:ascii="Trebuchet MS" w:hAnsi="Trebuchet MS"/>
          <w:spacing w:val="20"/>
        </w:rPr>
        <w:t xml:space="preserve">ction </w:t>
      </w:r>
      <w:r>
        <w:rPr>
          <w:rFonts w:ascii="Trebuchet MS" w:hAnsi="Trebuchet MS"/>
          <w:spacing w:val="20"/>
        </w:rPr>
        <w:t xml:space="preserve">petition, one can safely </w:t>
      </w:r>
      <w:r w:rsidR="00F5206D">
        <w:rPr>
          <w:rFonts w:ascii="Trebuchet MS" w:hAnsi="Trebuchet MS"/>
          <w:spacing w:val="20"/>
        </w:rPr>
        <w:t>conclude</w:t>
      </w:r>
      <w:r>
        <w:rPr>
          <w:rFonts w:ascii="Trebuchet MS" w:hAnsi="Trebuchet MS"/>
          <w:spacing w:val="20"/>
        </w:rPr>
        <w:t xml:space="preserve"> that election petition means a complaint against an undue return or undue election of a candidate at an election.</w:t>
      </w:r>
    </w:p>
    <w:p w14:paraId="7106FB3C" w14:textId="77777777" w:rsidR="0068619A" w:rsidRDefault="0068619A" w:rsidP="00E47BA8">
      <w:pPr>
        <w:spacing w:line="480" w:lineRule="auto"/>
        <w:contextualSpacing/>
        <w:jc w:val="both"/>
        <w:rPr>
          <w:rFonts w:ascii="Trebuchet MS" w:hAnsi="Trebuchet MS"/>
          <w:spacing w:val="20"/>
        </w:rPr>
      </w:pPr>
    </w:p>
    <w:p w14:paraId="33E13218" w14:textId="5C74ABD2" w:rsidR="0068619A" w:rsidRDefault="0068619A" w:rsidP="00E47BA8">
      <w:pPr>
        <w:spacing w:line="480" w:lineRule="auto"/>
        <w:contextualSpacing/>
        <w:jc w:val="both"/>
        <w:rPr>
          <w:rFonts w:ascii="Trebuchet MS" w:hAnsi="Trebuchet MS"/>
          <w:spacing w:val="20"/>
        </w:rPr>
      </w:pPr>
      <w:r>
        <w:rPr>
          <w:rFonts w:ascii="Trebuchet MS" w:hAnsi="Trebuchet MS"/>
          <w:spacing w:val="20"/>
        </w:rPr>
        <w:t>A National and State Houses of Assembly Election Tribunal and a Governorship Election Tribunal shall consist of a Chairman and two other members.</w:t>
      </w:r>
      <w:r>
        <w:rPr>
          <w:rStyle w:val="FootnoteReference"/>
          <w:rFonts w:ascii="Trebuchet MS" w:hAnsi="Trebuchet MS"/>
          <w:spacing w:val="20"/>
        </w:rPr>
        <w:footnoteReference w:id="34"/>
      </w:r>
      <w:r w:rsidR="00CC018E">
        <w:rPr>
          <w:rFonts w:ascii="Trebuchet MS" w:hAnsi="Trebuchet MS"/>
          <w:spacing w:val="20"/>
        </w:rPr>
        <w:t xml:space="preserve"> The Chairman</w:t>
      </w:r>
      <w:r w:rsidR="002764C0">
        <w:rPr>
          <w:rFonts w:ascii="Trebuchet MS" w:hAnsi="Trebuchet MS"/>
          <w:spacing w:val="20"/>
        </w:rPr>
        <w:t xml:space="preserve"> shall be a Judge of a High Court and the other two members may be appointed from among Judges of a High Court, Kadi of a Sharia Court of Appeal, Judges of a Customary Court of Appeal or other members of a Judiciary not below the rank of a Chief Magistrate.</w:t>
      </w:r>
      <w:r w:rsidR="002764C0">
        <w:rPr>
          <w:rStyle w:val="FootnoteReference"/>
          <w:rFonts w:ascii="Trebuchet MS" w:hAnsi="Trebuchet MS"/>
          <w:spacing w:val="20"/>
        </w:rPr>
        <w:footnoteReference w:id="35"/>
      </w:r>
      <w:r w:rsidR="002764C0">
        <w:rPr>
          <w:rFonts w:ascii="Trebuchet MS" w:hAnsi="Trebuchet MS"/>
          <w:spacing w:val="20"/>
        </w:rPr>
        <w:t xml:space="preserve"> </w:t>
      </w:r>
      <w:r w:rsidR="00792DC3">
        <w:rPr>
          <w:rFonts w:ascii="Trebuchet MS" w:hAnsi="Trebuchet MS"/>
          <w:spacing w:val="20"/>
        </w:rPr>
        <w:t>The quorum of an election tribunal shall be the Chairman and one other member</w:t>
      </w:r>
      <w:r w:rsidR="00792DC3">
        <w:rPr>
          <w:rStyle w:val="FootnoteReference"/>
          <w:rFonts w:ascii="Trebuchet MS" w:hAnsi="Trebuchet MS"/>
          <w:spacing w:val="20"/>
        </w:rPr>
        <w:footnoteReference w:id="36"/>
      </w:r>
      <w:r w:rsidR="00367D6F">
        <w:rPr>
          <w:rFonts w:ascii="Trebuchet MS" w:hAnsi="Trebuchet MS"/>
          <w:spacing w:val="20"/>
        </w:rPr>
        <w:t xml:space="preserve"> but in the hearing and determination of an election petition by the Court of Appeal, the Court of Appeal shall be duly constituted if it consist of at least three Justices of th</w:t>
      </w:r>
      <w:r w:rsidR="00F87AAC">
        <w:rPr>
          <w:rFonts w:ascii="Trebuchet MS" w:hAnsi="Trebuchet MS"/>
          <w:spacing w:val="20"/>
        </w:rPr>
        <w:t>e</w:t>
      </w:r>
      <w:r w:rsidR="00367D6F">
        <w:rPr>
          <w:rFonts w:ascii="Trebuchet MS" w:hAnsi="Trebuchet MS"/>
          <w:spacing w:val="20"/>
        </w:rPr>
        <w:t xml:space="preserve"> Court of Appeal. </w:t>
      </w:r>
      <w:r w:rsidR="00D13810">
        <w:rPr>
          <w:rFonts w:ascii="Trebuchet MS" w:hAnsi="Trebuchet MS"/>
          <w:spacing w:val="20"/>
        </w:rPr>
        <w:t xml:space="preserve">What is amazing about the quorum of an election tribunal </w:t>
      </w:r>
      <w:r w:rsidR="00E373DD">
        <w:rPr>
          <w:rFonts w:ascii="Trebuchet MS" w:hAnsi="Trebuchet MS"/>
          <w:spacing w:val="20"/>
        </w:rPr>
        <w:t xml:space="preserve">at any given time </w:t>
      </w:r>
      <w:r w:rsidR="00D13810">
        <w:rPr>
          <w:rFonts w:ascii="Trebuchet MS" w:hAnsi="Trebuchet MS"/>
          <w:spacing w:val="20"/>
        </w:rPr>
        <w:t xml:space="preserve">is that the panel </w:t>
      </w:r>
      <w:r w:rsidR="00E373DD">
        <w:rPr>
          <w:rFonts w:ascii="Trebuchet MS" w:hAnsi="Trebuchet MS"/>
          <w:spacing w:val="20"/>
        </w:rPr>
        <w:t xml:space="preserve">may </w:t>
      </w:r>
      <w:r w:rsidR="00D13810">
        <w:rPr>
          <w:rFonts w:ascii="Trebuchet MS" w:hAnsi="Trebuchet MS"/>
          <w:spacing w:val="20"/>
        </w:rPr>
        <w:t xml:space="preserve">consist of </w:t>
      </w:r>
      <w:r w:rsidR="00E373DD">
        <w:rPr>
          <w:rFonts w:ascii="Trebuchet MS" w:hAnsi="Trebuchet MS"/>
          <w:spacing w:val="20"/>
        </w:rPr>
        <w:t xml:space="preserve">only </w:t>
      </w:r>
      <w:r w:rsidR="00D13810">
        <w:rPr>
          <w:rFonts w:ascii="Trebuchet MS" w:hAnsi="Trebuchet MS"/>
          <w:spacing w:val="20"/>
        </w:rPr>
        <w:t>two members provided that the Chairman</w:t>
      </w:r>
      <w:r w:rsidR="00E373DD">
        <w:rPr>
          <w:rFonts w:ascii="Trebuchet MS" w:hAnsi="Trebuchet MS"/>
          <w:spacing w:val="20"/>
        </w:rPr>
        <w:t xml:space="preserve"> is one of the two members.</w:t>
      </w:r>
      <w:r w:rsidR="00F94F55">
        <w:rPr>
          <w:rFonts w:ascii="Trebuchet MS" w:hAnsi="Trebuchet MS"/>
          <w:spacing w:val="20"/>
        </w:rPr>
        <w:t xml:space="preserve"> </w:t>
      </w:r>
      <w:r w:rsidR="00E373DD">
        <w:rPr>
          <w:rFonts w:ascii="Trebuchet MS" w:hAnsi="Trebuchet MS"/>
          <w:spacing w:val="20"/>
        </w:rPr>
        <w:t>The implication of this is that where only two members sit at any given time, there could be stalemate on an issue or in a ruling which will certainly cause or lead to confusion in the judiciary</w:t>
      </w:r>
      <w:r w:rsidR="00CE21CB">
        <w:rPr>
          <w:rFonts w:ascii="Trebuchet MS" w:hAnsi="Trebuchet MS"/>
          <w:spacing w:val="20"/>
        </w:rPr>
        <w:t xml:space="preserve"> and to an extent, the society at large</w:t>
      </w:r>
      <w:r w:rsidR="00E373DD">
        <w:rPr>
          <w:rFonts w:ascii="Trebuchet MS" w:hAnsi="Trebuchet MS"/>
          <w:spacing w:val="20"/>
        </w:rPr>
        <w:t xml:space="preserve">. The law has always </w:t>
      </w:r>
      <w:r w:rsidR="009A3111">
        <w:rPr>
          <w:rFonts w:ascii="Trebuchet MS" w:hAnsi="Trebuchet MS"/>
          <w:spacing w:val="20"/>
        </w:rPr>
        <w:t>made use of odd numbers for the purpose of quorum in the hearing and determination of cases by any court or tribunal</w:t>
      </w:r>
      <w:r w:rsidR="00DA19AA">
        <w:rPr>
          <w:rFonts w:ascii="Trebuchet MS" w:hAnsi="Trebuchet MS"/>
          <w:spacing w:val="20"/>
        </w:rPr>
        <w:t>.</w:t>
      </w:r>
      <w:r w:rsidR="009A3111">
        <w:rPr>
          <w:rFonts w:ascii="Trebuchet MS" w:hAnsi="Trebuchet MS"/>
          <w:spacing w:val="20"/>
        </w:rPr>
        <w:t xml:space="preserve"> </w:t>
      </w:r>
      <w:r w:rsidR="00845267">
        <w:rPr>
          <w:rFonts w:ascii="Trebuchet MS" w:hAnsi="Trebuchet MS"/>
          <w:spacing w:val="20"/>
        </w:rPr>
        <w:t>This is basically to avoid situations of stalemate</w:t>
      </w:r>
      <w:r w:rsidR="006713C1">
        <w:rPr>
          <w:rFonts w:ascii="Trebuchet MS" w:hAnsi="Trebuchet MS"/>
          <w:spacing w:val="20"/>
        </w:rPr>
        <w:t xml:space="preserve"> </w:t>
      </w:r>
      <w:r w:rsidR="00C76F82">
        <w:rPr>
          <w:rFonts w:ascii="Trebuchet MS" w:hAnsi="Trebuchet MS"/>
          <w:spacing w:val="20"/>
        </w:rPr>
        <w:t>that the provision of section 285(4)</w:t>
      </w:r>
      <w:r w:rsidR="00467889">
        <w:rPr>
          <w:rFonts w:ascii="Trebuchet MS" w:hAnsi="Trebuchet MS"/>
          <w:spacing w:val="20"/>
        </w:rPr>
        <w:t xml:space="preserve"> of the 1999 Constitution</w:t>
      </w:r>
      <w:r w:rsidR="00C76F82">
        <w:rPr>
          <w:rFonts w:ascii="Trebuchet MS" w:hAnsi="Trebuchet MS"/>
          <w:spacing w:val="20"/>
        </w:rPr>
        <w:t xml:space="preserve"> is </w:t>
      </w:r>
      <w:r w:rsidR="00467889">
        <w:rPr>
          <w:rFonts w:ascii="Trebuchet MS" w:hAnsi="Trebuchet MS"/>
          <w:spacing w:val="20"/>
        </w:rPr>
        <w:t>likely</w:t>
      </w:r>
      <w:r w:rsidR="00C76F82">
        <w:rPr>
          <w:rFonts w:ascii="Trebuchet MS" w:hAnsi="Trebuchet MS"/>
          <w:spacing w:val="20"/>
        </w:rPr>
        <w:t xml:space="preserve"> to achi</w:t>
      </w:r>
      <w:r w:rsidR="00467889">
        <w:rPr>
          <w:rFonts w:ascii="Trebuchet MS" w:hAnsi="Trebuchet MS"/>
          <w:spacing w:val="20"/>
        </w:rPr>
        <w:t>e</w:t>
      </w:r>
      <w:r w:rsidR="00C76F82">
        <w:rPr>
          <w:rFonts w:ascii="Trebuchet MS" w:hAnsi="Trebuchet MS"/>
          <w:spacing w:val="20"/>
        </w:rPr>
        <w:t>ve</w:t>
      </w:r>
      <w:r w:rsidR="00AB6FB4">
        <w:rPr>
          <w:rFonts w:ascii="Trebuchet MS" w:hAnsi="Trebuchet MS"/>
          <w:spacing w:val="20"/>
        </w:rPr>
        <w:t>.</w:t>
      </w:r>
    </w:p>
    <w:p w14:paraId="15FA31C0" w14:textId="77777777" w:rsidR="00D01F3D" w:rsidRDefault="00D01F3D" w:rsidP="00E47BA8">
      <w:pPr>
        <w:spacing w:line="480" w:lineRule="auto"/>
        <w:contextualSpacing/>
        <w:jc w:val="both"/>
        <w:rPr>
          <w:rFonts w:ascii="Trebuchet MS" w:hAnsi="Trebuchet MS"/>
          <w:spacing w:val="20"/>
        </w:rPr>
      </w:pPr>
    </w:p>
    <w:p w14:paraId="3A535DC1" w14:textId="0CBDEA69" w:rsidR="00D01F3D" w:rsidRDefault="00D01F3D" w:rsidP="00E47BA8">
      <w:pPr>
        <w:spacing w:line="480" w:lineRule="auto"/>
        <w:contextualSpacing/>
        <w:jc w:val="both"/>
        <w:rPr>
          <w:rFonts w:ascii="Trebuchet MS" w:hAnsi="Trebuchet MS"/>
          <w:spacing w:val="20"/>
        </w:rPr>
      </w:pPr>
      <w:r>
        <w:rPr>
          <w:rFonts w:ascii="Trebuchet MS" w:hAnsi="Trebuchet MS"/>
          <w:spacing w:val="20"/>
        </w:rPr>
        <w:t>An election tribunal shall deliver its judgment within 180 days from the date of filing of the petition</w:t>
      </w:r>
      <w:r w:rsidR="00C63010">
        <w:rPr>
          <w:rStyle w:val="FootnoteReference"/>
          <w:rFonts w:ascii="Trebuchet MS" w:hAnsi="Trebuchet MS"/>
          <w:spacing w:val="20"/>
        </w:rPr>
        <w:footnoteReference w:id="37"/>
      </w:r>
      <w:r w:rsidR="00032DCE">
        <w:rPr>
          <w:rFonts w:ascii="Trebuchet MS" w:hAnsi="Trebuchet MS"/>
          <w:spacing w:val="20"/>
        </w:rPr>
        <w:t xml:space="preserve"> and an appeal from a decision of an election tribunal or Court of Appeal in an election matter shall be heard and disposed</w:t>
      </w:r>
      <w:r w:rsidR="00E811D5">
        <w:rPr>
          <w:rFonts w:ascii="Trebuchet MS" w:hAnsi="Trebuchet MS"/>
          <w:spacing w:val="20"/>
        </w:rPr>
        <w:t xml:space="preserve"> of within 60 days from the date of the delivery of judgment of the tribunal or Court of Appeal.</w:t>
      </w:r>
      <w:r w:rsidR="00981F75">
        <w:rPr>
          <w:rStyle w:val="FootnoteReference"/>
          <w:rFonts w:ascii="Trebuchet MS" w:hAnsi="Trebuchet MS"/>
          <w:spacing w:val="20"/>
        </w:rPr>
        <w:footnoteReference w:id="38"/>
      </w:r>
      <w:r w:rsidR="00F5206D" w:rsidDel="00F5206D">
        <w:rPr>
          <w:rStyle w:val="FootnoteReference"/>
          <w:rFonts w:ascii="Trebuchet MS" w:hAnsi="Trebuchet MS"/>
          <w:spacing w:val="20"/>
        </w:rPr>
        <w:t xml:space="preserve"> </w:t>
      </w:r>
    </w:p>
    <w:p w14:paraId="61413F25" w14:textId="77777777" w:rsidR="00E90145" w:rsidRDefault="00E90145" w:rsidP="00E47BA8">
      <w:pPr>
        <w:spacing w:line="480" w:lineRule="auto"/>
        <w:contextualSpacing/>
        <w:jc w:val="both"/>
        <w:rPr>
          <w:rFonts w:ascii="Trebuchet MS" w:hAnsi="Trebuchet MS"/>
          <w:spacing w:val="20"/>
        </w:rPr>
      </w:pPr>
    </w:p>
    <w:p w14:paraId="1F2046B6" w14:textId="77777777" w:rsidR="00E90145" w:rsidRPr="00C22964" w:rsidRDefault="00E90145" w:rsidP="00E47BA8">
      <w:pPr>
        <w:spacing w:line="480" w:lineRule="auto"/>
        <w:contextualSpacing/>
        <w:jc w:val="both"/>
        <w:rPr>
          <w:rFonts w:ascii="Trebuchet MS" w:hAnsi="Trebuchet MS"/>
          <w:b/>
          <w:spacing w:val="20"/>
        </w:rPr>
      </w:pPr>
      <w:r w:rsidRPr="00C22964">
        <w:rPr>
          <w:rFonts w:ascii="Trebuchet MS" w:hAnsi="Trebuchet MS"/>
          <w:b/>
          <w:spacing w:val="20"/>
        </w:rPr>
        <w:t>Legal Framework</w:t>
      </w:r>
    </w:p>
    <w:p w14:paraId="7FEA8CBE" w14:textId="0576FB60" w:rsidR="002650B5" w:rsidRDefault="00B90C73" w:rsidP="00E47BA8">
      <w:pPr>
        <w:spacing w:line="480" w:lineRule="auto"/>
        <w:contextualSpacing/>
        <w:jc w:val="both"/>
        <w:rPr>
          <w:rFonts w:ascii="Trebuchet MS" w:hAnsi="Trebuchet MS"/>
          <w:spacing w:val="20"/>
        </w:rPr>
      </w:pPr>
      <w:r>
        <w:rPr>
          <w:rFonts w:ascii="Trebuchet MS" w:hAnsi="Trebuchet MS"/>
          <w:spacing w:val="20"/>
        </w:rPr>
        <w:t xml:space="preserve">As is was earlier </w:t>
      </w:r>
      <w:r w:rsidR="006E6806">
        <w:rPr>
          <w:rFonts w:ascii="Trebuchet MS" w:hAnsi="Trebuchet MS"/>
          <w:spacing w:val="20"/>
        </w:rPr>
        <w:t>said</w:t>
      </w:r>
      <w:r>
        <w:rPr>
          <w:rFonts w:ascii="Trebuchet MS" w:hAnsi="Trebuchet MS"/>
          <w:spacing w:val="20"/>
        </w:rPr>
        <w:t>, the Constitution is the source</w:t>
      </w:r>
      <w:r w:rsidRPr="00B90C73">
        <w:rPr>
          <w:rFonts w:ascii="Trebuchet MS" w:hAnsi="Trebuchet MS"/>
          <w:spacing w:val="20"/>
        </w:rPr>
        <w:t xml:space="preserve"> from which all other laws derive their validity</w:t>
      </w:r>
      <w:r>
        <w:rPr>
          <w:rFonts w:ascii="Trebuchet MS" w:hAnsi="Trebuchet MS"/>
          <w:spacing w:val="20"/>
        </w:rPr>
        <w:t xml:space="preserve"> and the 1999 Constitution of the Federal Republic of Nigeria is no exception as</w:t>
      </w:r>
      <w:r w:rsidR="006E6806">
        <w:rPr>
          <w:rFonts w:ascii="Trebuchet MS" w:hAnsi="Trebuchet MS"/>
          <w:spacing w:val="20"/>
        </w:rPr>
        <w:t xml:space="preserve"> it is</w:t>
      </w:r>
      <w:r>
        <w:rPr>
          <w:rFonts w:ascii="Trebuchet MS" w:hAnsi="Trebuchet MS"/>
          <w:spacing w:val="20"/>
        </w:rPr>
        <w:t xml:space="preserve"> </w:t>
      </w:r>
      <w:r w:rsidR="006E6806">
        <w:rPr>
          <w:rFonts w:ascii="Trebuchet MS" w:hAnsi="Trebuchet MS"/>
          <w:spacing w:val="20"/>
        </w:rPr>
        <w:t>the</w:t>
      </w:r>
      <w:r>
        <w:rPr>
          <w:rFonts w:ascii="Trebuchet MS" w:hAnsi="Trebuchet MS"/>
          <w:spacing w:val="20"/>
        </w:rPr>
        <w:t xml:space="preserve"> document from which all other laws in Nigeria derive their root. </w:t>
      </w:r>
      <w:r w:rsidR="00ED186C">
        <w:rPr>
          <w:rFonts w:ascii="Trebuchet MS" w:hAnsi="Trebuchet MS"/>
          <w:spacing w:val="20"/>
        </w:rPr>
        <w:t>The 1999 Constitution gives the legislative bodies in Nigeria the power to make laws inclusive of power to make regulations relating to</w:t>
      </w:r>
      <w:r w:rsidR="00252BA9">
        <w:rPr>
          <w:rFonts w:ascii="Trebuchet MS" w:hAnsi="Trebuchet MS"/>
          <w:spacing w:val="20"/>
        </w:rPr>
        <w:t xml:space="preserve"> </w:t>
      </w:r>
      <w:r w:rsidR="00ED186C">
        <w:rPr>
          <w:rFonts w:ascii="Trebuchet MS" w:hAnsi="Trebuchet MS"/>
          <w:spacing w:val="20"/>
        </w:rPr>
        <w:t>electoral process in Nigeria.</w:t>
      </w:r>
    </w:p>
    <w:p w14:paraId="53914152" w14:textId="77777777" w:rsidR="00391629" w:rsidRDefault="00391629" w:rsidP="00E47BA8">
      <w:pPr>
        <w:spacing w:line="480" w:lineRule="auto"/>
        <w:contextualSpacing/>
        <w:jc w:val="both"/>
        <w:rPr>
          <w:rFonts w:ascii="Trebuchet MS" w:hAnsi="Trebuchet MS"/>
          <w:spacing w:val="20"/>
        </w:rPr>
      </w:pPr>
    </w:p>
    <w:p w14:paraId="0683C9D9" w14:textId="31FEDEC2" w:rsidR="00391629" w:rsidRDefault="00391629" w:rsidP="00E47BA8">
      <w:pPr>
        <w:spacing w:line="480" w:lineRule="auto"/>
        <w:contextualSpacing/>
        <w:jc w:val="both"/>
        <w:rPr>
          <w:rFonts w:ascii="Trebuchet MS" w:hAnsi="Trebuchet MS"/>
          <w:spacing w:val="20"/>
        </w:rPr>
      </w:pPr>
      <w:r>
        <w:rPr>
          <w:rFonts w:ascii="Trebuchet MS" w:hAnsi="Trebuchet MS"/>
          <w:spacing w:val="20"/>
        </w:rPr>
        <w:t>By the provision of Section 4(2)</w:t>
      </w:r>
      <w:r w:rsidR="001864C9">
        <w:rPr>
          <w:rStyle w:val="FootnoteReference"/>
          <w:rFonts w:ascii="Trebuchet MS" w:hAnsi="Trebuchet MS"/>
          <w:spacing w:val="20"/>
        </w:rPr>
        <w:footnoteReference w:id="39"/>
      </w:r>
      <w:r w:rsidR="001864C9">
        <w:rPr>
          <w:rFonts w:ascii="Trebuchet MS" w:hAnsi="Trebuchet MS"/>
          <w:spacing w:val="20"/>
        </w:rPr>
        <w:t xml:space="preserve"> of the 1999 Constitution</w:t>
      </w:r>
      <w:r>
        <w:rPr>
          <w:rFonts w:ascii="Trebuchet MS" w:hAnsi="Trebuchet MS"/>
          <w:spacing w:val="20"/>
        </w:rPr>
        <w:t xml:space="preserve"> and item 22 of Part I of the Second Schedule</w:t>
      </w:r>
      <w:r w:rsidR="001864C9">
        <w:rPr>
          <w:rFonts w:ascii="Trebuchet MS" w:hAnsi="Trebuchet MS"/>
          <w:spacing w:val="20"/>
        </w:rPr>
        <w:t xml:space="preserve"> to the 1999 Constitution</w:t>
      </w:r>
      <w:r>
        <w:rPr>
          <w:rFonts w:ascii="Trebuchet MS" w:hAnsi="Trebuchet MS"/>
          <w:spacing w:val="20"/>
        </w:rPr>
        <w:t>, the National Assembly is empowered with exclusive legislative power</w:t>
      </w:r>
      <w:r w:rsidR="001864C9">
        <w:rPr>
          <w:rFonts w:ascii="Trebuchet MS" w:hAnsi="Trebuchet MS"/>
          <w:spacing w:val="20"/>
        </w:rPr>
        <w:t xml:space="preserve"> to make laws regulating:</w:t>
      </w:r>
    </w:p>
    <w:p w14:paraId="5A7513FD" w14:textId="6506E285" w:rsidR="002940F8" w:rsidRPr="0020080A" w:rsidRDefault="001864C9" w:rsidP="00E47BA8">
      <w:pPr>
        <w:spacing w:line="480" w:lineRule="auto"/>
        <w:ind w:left="1440"/>
        <w:contextualSpacing/>
        <w:jc w:val="both"/>
        <w:rPr>
          <w:rFonts w:ascii="Trebuchet MS" w:hAnsi="Trebuchet MS"/>
          <w:spacing w:val="20"/>
        </w:rPr>
      </w:pPr>
      <w:r w:rsidRPr="0020080A">
        <w:rPr>
          <w:rFonts w:ascii="Trebuchet MS" w:hAnsi="Trebuchet MS"/>
          <w:spacing w:val="20"/>
        </w:rPr>
        <w:t>“Election to the offices of President and Vice-President or Governor and Deputy Governor and any other office to which a person may be elected under this Constitution, excluding election to a local government council or any office in such council.”</w:t>
      </w:r>
    </w:p>
    <w:p w14:paraId="51E673F6" w14:textId="77777777" w:rsidR="000D228B" w:rsidRDefault="000D228B" w:rsidP="00E47BA8">
      <w:pPr>
        <w:spacing w:line="480" w:lineRule="auto"/>
        <w:contextualSpacing/>
        <w:jc w:val="both"/>
        <w:rPr>
          <w:rFonts w:ascii="Trebuchet MS" w:hAnsi="Trebuchet MS"/>
          <w:spacing w:val="20"/>
        </w:rPr>
      </w:pPr>
    </w:p>
    <w:p w14:paraId="66175741" w14:textId="77777777" w:rsidR="00100052" w:rsidRDefault="000D228B" w:rsidP="00E47BA8">
      <w:pPr>
        <w:spacing w:line="480" w:lineRule="auto"/>
        <w:contextualSpacing/>
        <w:jc w:val="both"/>
        <w:rPr>
          <w:rFonts w:ascii="Trebuchet MS" w:hAnsi="Trebuchet MS"/>
          <w:spacing w:val="20"/>
        </w:rPr>
      </w:pPr>
      <w:r>
        <w:rPr>
          <w:rFonts w:ascii="Trebuchet MS" w:hAnsi="Trebuchet MS"/>
          <w:spacing w:val="20"/>
        </w:rPr>
        <w:t>The provision of section 4(4)(a)</w:t>
      </w:r>
      <w:r w:rsidR="00D53375">
        <w:rPr>
          <w:rStyle w:val="FootnoteReference"/>
          <w:rFonts w:ascii="Trebuchet MS" w:hAnsi="Trebuchet MS"/>
          <w:spacing w:val="20"/>
        </w:rPr>
        <w:footnoteReference w:id="40"/>
      </w:r>
      <w:r w:rsidR="00D53375">
        <w:rPr>
          <w:rFonts w:ascii="Trebuchet MS" w:hAnsi="Trebuchet MS"/>
          <w:spacing w:val="20"/>
        </w:rPr>
        <w:t xml:space="preserve"> of the 1999 Constitution</w:t>
      </w:r>
      <w:r>
        <w:rPr>
          <w:rFonts w:ascii="Trebuchet MS" w:hAnsi="Trebuchet MS"/>
          <w:spacing w:val="20"/>
        </w:rPr>
        <w:t xml:space="preserve"> and </w:t>
      </w:r>
      <w:r>
        <w:rPr>
          <w:rFonts w:ascii="Trebuchet MS" w:hAnsi="Trebuchet MS"/>
          <w:i/>
          <w:spacing w:val="20"/>
        </w:rPr>
        <w:t>Item 11</w:t>
      </w:r>
      <w:r w:rsidRPr="00F03D1F">
        <w:rPr>
          <w:rFonts w:ascii="Trebuchet MS" w:hAnsi="Trebuchet MS"/>
          <w:i/>
          <w:spacing w:val="20"/>
        </w:rPr>
        <w:t xml:space="preserve"> of Part I</w:t>
      </w:r>
      <w:r>
        <w:rPr>
          <w:rFonts w:ascii="Trebuchet MS" w:hAnsi="Trebuchet MS"/>
          <w:i/>
          <w:spacing w:val="20"/>
        </w:rPr>
        <w:t>I</w:t>
      </w:r>
      <w:r w:rsidRPr="00F03D1F">
        <w:rPr>
          <w:rFonts w:ascii="Trebuchet MS" w:hAnsi="Trebuchet MS"/>
          <w:i/>
          <w:spacing w:val="20"/>
        </w:rPr>
        <w:t xml:space="preserve"> of the Second Schedule to the 1999</w:t>
      </w:r>
      <w:r>
        <w:rPr>
          <w:rFonts w:ascii="Trebuchet MS" w:hAnsi="Trebuchet MS"/>
          <w:spacing w:val="20"/>
        </w:rPr>
        <w:t xml:space="preserve"> </w:t>
      </w:r>
      <w:r w:rsidRPr="00DF3D9A">
        <w:rPr>
          <w:rFonts w:ascii="Trebuchet MS" w:hAnsi="Trebuchet MS"/>
          <w:i/>
          <w:spacing w:val="20"/>
        </w:rPr>
        <w:t>Constitution</w:t>
      </w:r>
      <w:r>
        <w:rPr>
          <w:rFonts w:ascii="Trebuchet MS" w:hAnsi="Trebuchet MS"/>
          <w:spacing w:val="20"/>
        </w:rPr>
        <w:t xml:space="preserve"> gives the National Assembly the power to make laws for the Federation with respect to the registration of voters and the procedure regulating elections</w:t>
      </w:r>
      <w:r w:rsidR="0020080A">
        <w:rPr>
          <w:rFonts w:ascii="Trebuchet MS" w:hAnsi="Trebuchet MS"/>
          <w:spacing w:val="20"/>
        </w:rPr>
        <w:t xml:space="preserve"> to a local government council. </w:t>
      </w:r>
    </w:p>
    <w:p w14:paraId="19FD95CC" w14:textId="77777777" w:rsidR="00100052" w:rsidRDefault="00100052" w:rsidP="00E47BA8">
      <w:pPr>
        <w:spacing w:line="480" w:lineRule="auto"/>
        <w:contextualSpacing/>
        <w:jc w:val="both"/>
        <w:rPr>
          <w:rFonts w:ascii="Trebuchet MS" w:hAnsi="Trebuchet MS"/>
          <w:spacing w:val="20"/>
        </w:rPr>
      </w:pPr>
    </w:p>
    <w:p w14:paraId="6C4AB13E" w14:textId="0E840A59" w:rsidR="001864C9" w:rsidRDefault="006E6806" w:rsidP="00E47BA8">
      <w:pPr>
        <w:spacing w:line="480" w:lineRule="auto"/>
        <w:contextualSpacing/>
        <w:jc w:val="both"/>
        <w:rPr>
          <w:rFonts w:ascii="Trebuchet MS" w:hAnsi="Trebuchet MS"/>
          <w:spacing w:val="20"/>
        </w:rPr>
      </w:pPr>
      <w:r>
        <w:rPr>
          <w:rFonts w:ascii="Trebuchet MS" w:hAnsi="Trebuchet MS"/>
          <w:spacing w:val="20"/>
        </w:rPr>
        <w:t>I</w:t>
      </w:r>
      <w:r w:rsidR="00100052">
        <w:rPr>
          <w:rFonts w:ascii="Trebuchet MS" w:hAnsi="Trebuchet MS"/>
          <w:spacing w:val="20"/>
        </w:rPr>
        <w:t>t is pursuant to the</w:t>
      </w:r>
      <w:r w:rsidR="0020080A">
        <w:rPr>
          <w:rFonts w:ascii="Trebuchet MS" w:hAnsi="Trebuchet MS"/>
          <w:spacing w:val="20"/>
        </w:rPr>
        <w:t xml:space="preserve"> provisions</w:t>
      </w:r>
      <w:r w:rsidR="00100052">
        <w:rPr>
          <w:rFonts w:ascii="Trebuchet MS" w:hAnsi="Trebuchet MS"/>
          <w:spacing w:val="20"/>
        </w:rPr>
        <w:t xml:space="preserve"> of sections 4(2), 4(4)(a) and item 22 of Part 1 and item 11</w:t>
      </w:r>
      <w:r w:rsidR="0020080A">
        <w:rPr>
          <w:rFonts w:ascii="Trebuchet MS" w:hAnsi="Trebuchet MS"/>
          <w:spacing w:val="20"/>
        </w:rPr>
        <w:t xml:space="preserve"> </w:t>
      </w:r>
      <w:r w:rsidR="00100052">
        <w:rPr>
          <w:rFonts w:ascii="Trebuchet MS" w:hAnsi="Trebuchet MS"/>
          <w:spacing w:val="20"/>
        </w:rPr>
        <w:t xml:space="preserve">of Part II of the Second Schedule </w:t>
      </w:r>
      <w:r w:rsidR="0020080A">
        <w:rPr>
          <w:rFonts w:ascii="Trebuchet MS" w:hAnsi="Trebuchet MS"/>
          <w:spacing w:val="20"/>
        </w:rPr>
        <w:t xml:space="preserve">that the National Assembly </w:t>
      </w:r>
      <w:r w:rsidR="000D228B" w:rsidRPr="0020080A">
        <w:rPr>
          <w:rFonts w:ascii="Trebuchet MS" w:hAnsi="Trebuchet MS"/>
          <w:spacing w:val="20"/>
        </w:rPr>
        <w:t>enacted the Electoral Act, 2010 (as amended)</w:t>
      </w:r>
      <w:r w:rsidR="0020080A">
        <w:rPr>
          <w:rFonts w:ascii="Trebuchet MS" w:hAnsi="Trebuchet MS"/>
          <w:spacing w:val="20"/>
        </w:rPr>
        <w:t xml:space="preserve"> that regulates</w:t>
      </w:r>
      <w:r w:rsidR="00100052">
        <w:rPr>
          <w:rFonts w:ascii="Trebuchet MS" w:hAnsi="Trebuchet MS"/>
          <w:spacing w:val="20"/>
        </w:rPr>
        <w:t xml:space="preserve"> elections to the offices of </w:t>
      </w:r>
      <w:r w:rsidR="007A2E58">
        <w:rPr>
          <w:rFonts w:ascii="Trebuchet MS" w:hAnsi="Trebuchet MS"/>
          <w:spacing w:val="20"/>
        </w:rPr>
        <w:t xml:space="preserve">the </w:t>
      </w:r>
      <w:r w:rsidR="00100052">
        <w:rPr>
          <w:rFonts w:ascii="Trebuchet MS" w:hAnsi="Trebuchet MS"/>
          <w:spacing w:val="20"/>
        </w:rPr>
        <w:t>President, Vice-President, Governor, Deputy Governor</w:t>
      </w:r>
      <w:r w:rsidR="007A2E58">
        <w:rPr>
          <w:rFonts w:ascii="Trebuchet MS" w:hAnsi="Trebuchet MS"/>
          <w:spacing w:val="20"/>
        </w:rPr>
        <w:t>, National Assembly, Houses of Assembly; and elections to Area</w:t>
      </w:r>
      <w:r w:rsidR="00C30725">
        <w:rPr>
          <w:rFonts w:ascii="Trebuchet MS" w:hAnsi="Trebuchet MS"/>
          <w:spacing w:val="20"/>
        </w:rPr>
        <w:t xml:space="preserve"> Council</w:t>
      </w:r>
      <w:r w:rsidR="00652B57">
        <w:rPr>
          <w:rFonts w:ascii="Trebuchet MS" w:hAnsi="Trebuchet MS"/>
          <w:spacing w:val="20"/>
        </w:rPr>
        <w:t xml:space="preserve"> in the Federal Capital Territo</w:t>
      </w:r>
      <w:r w:rsidR="007A2E58">
        <w:rPr>
          <w:rFonts w:ascii="Trebuchet MS" w:hAnsi="Trebuchet MS"/>
          <w:spacing w:val="20"/>
        </w:rPr>
        <w:t xml:space="preserve">ry. </w:t>
      </w:r>
    </w:p>
    <w:p w14:paraId="4E5EA6DF" w14:textId="77777777" w:rsidR="00E7793B" w:rsidRDefault="00E7793B" w:rsidP="00E47BA8">
      <w:pPr>
        <w:spacing w:line="480" w:lineRule="auto"/>
        <w:contextualSpacing/>
        <w:jc w:val="both"/>
        <w:rPr>
          <w:rFonts w:ascii="Trebuchet MS" w:hAnsi="Trebuchet MS"/>
          <w:spacing w:val="20"/>
        </w:rPr>
      </w:pPr>
    </w:p>
    <w:p w14:paraId="25F8C2D4" w14:textId="05C8379E" w:rsidR="00E7793B" w:rsidRDefault="00E7793B" w:rsidP="00E47BA8">
      <w:pPr>
        <w:spacing w:line="480" w:lineRule="auto"/>
        <w:contextualSpacing/>
        <w:jc w:val="both"/>
        <w:rPr>
          <w:rFonts w:ascii="Trebuchet MS" w:hAnsi="Trebuchet MS"/>
          <w:spacing w:val="20"/>
        </w:rPr>
      </w:pPr>
      <w:r>
        <w:rPr>
          <w:rFonts w:ascii="Trebuchet MS" w:hAnsi="Trebuchet MS"/>
          <w:spacing w:val="20"/>
        </w:rPr>
        <w:t xml:space="preserve">On the issue of State laws, </w:t>
      </w:r>
      <w:r w:rsidR="0052598D">
        <w:rPr>
          <w:rFonts w:ascii="Trebuchet MS" w:hAnsi="Trebuchet MS"/>
          <w:spacing w:val="20"/>
        </w:rPr>
        <w:t>it is pertinent to note that notwithstanding</w:t>
      </w:r>
      <w:r>
        <w:rPr>
          <w:rFonts w:ascii="Trebuchet MS" w:hAnsi="Trebuchet MS"/>
          <w:spacing w:val="20"/>
        </w:rPr>
        <w:t xml:space="preserve"> the provisions of </w:t>
      </w:r>
      <w:r w:rsidRPr="001C1128">
        <w:rPr>
          <w:rFonts w:ascii="Trebuchet MS" w:hAnsi="Trebuchet MS"/>
          <w:spacing w:val="20"/>
        </w:rPr>
        <w:t>Item 11 of Part II of the Second Schedule to the 1999 Constitution on the power of the National Assembly to make laws fo</w:t>
      </w:r>
      <w:r w:rsidRPr="00F8327D">
        <w:rPr>
          <w:rFonts w:ascii="Trebuchet MS" w:hAnsi="Trebuchet MS"/>
          <w:spacing w:val="20"/>
        </w:rPr>
        <w:t>r the procedure regulating local government council elect</w:t>
      </w:r>
      <w:r w:rsidRPr="001C1128">
        <w:rPr>
          <w:rFonts w:ascii="Trebuchet MS" w:hAnsi="Trebuchet MS"/>
          <w:spacing w:val="20"/>
        </w:rPr>
        <w:t xml:space="preserve">ions, Item 12 of Part II of the Second Schedule to the 1999 Constitution enables the House of Assembly of </w:t>
      </w:r>
      <w:r w:rsidR="0052598D" w:rsidRPr="001C1128">
        <w:rPr>
          <w:rFonts w:ascii="Trebuchet MS" w:hAnsi="Trebuchet MS"/>
          <w:spacing w:val="20"/>
        </w:rPr>
        <w:t xml:space="preserve">a </w:t>
      </w:r>
      <w:r w:rsidRPr="001C1128">
        <w:rPr>
          <w:rFonts w:ascii="Trebuchet MS" w:hAnsi="Trebuchet MS"/>
          <w:spacing w:val="20"/>
        </w:rPr>
        <w:t>State to also m</w:t>
      </w:r>
      <w:r>
        <w:rPr>
          <w:rFonts w:ascii="Trebuchet MS" w:hAnsi="Trebuchet MS"/>
          <w:spacing w:val="20"/>
        </w:rPr>
        <w:t xml:space="preserve">ake laws with respect to local government council election, </w:t>
      </w:r>
      <w:r w:rsidR="006E7CD3">
        <w:rPr>
          <w:rFonts w:ascii="Trebuchet MS" w:hAnsi="Trebuchet MS"/>
          <w:spacing w:val="20"/>
        </w:rPr>
        <w:t>though</w:t>
      </w:r>
      <w:r>
        <w:rPr>
          <w:rFonts w:ascii="Trebuchet MS" w:hAnsi="Trebuchet MS"/>
          <w:spacing w:val="20"/>
        </w:rPr>
        <w:t xml:space="preserve"> not inconsistent with the one made by the National Assembly. </w:t>
      </w:r>
      <w:r w:rsidR="00F03E53">
        <w:rPr>
          <w:rFonts w:ascii="Trebuchet MS" w:hAnsi="Trebuchet MS"/>
          <w:spacing w:val="20"/>
        </w:rPr>
        <w:t>The said item 12 of Part II of the Second Schedule to the 1999 Constitution</w:t>
      </w:r>
      <w:r>
        <w:rPr>
          <w:rFonts w:ascii="Trebuchet MS" w:hAnsi="Trebuchet MS"/>
          <w:spacing w:val="20"/>
        </w:rPr>
        <w:t xml:space="preserve"> provides thus</w:t>
      </w:r>
      <w:r w:rsidRPr="00F8327D">
        <w:rPr>
          <w:rFonts w:ascii="Trebuchet MS" w:hAnsi="Trebuchet MS"/>
          <w:spacing w:val="20"/>
        </w:rPr>
        <w:t>:</w:t>
      </w:r>
    </w:p>
    <w:p w14:paraId="24DB0759" w14:textId="3C4F9117" w:rsidR="00F03E53" w:rsidRDefault="00C22964" w:rsidP="00E47BA8">
      <w:pPr>
        <w:spacing w:line="480" w:lineRule="auto"/>
        <w:ind w:left="2160"/>
        <w:contextualSpacing/>
        <w:jc w:val="both"/>
        <w:rPr>
          <w:rFonts w:ascii="Trebuchet MS" w:hAnsi="Trebuchet MS"/>
          <w:spacing w:val="20"/>
        </w:rPr>
      </w:pPr>
      <w:r w:rsidDel="00C22964">
        <w:rPr>
          <w:rFonts w:ascii="Trebuchet MS" w:hAnsi="Trebuchet MS"/>
          <w:spacing w:val="20"/>
        </w:rPr>
        <w:t xml:space="preserve"> </w:t>
      </w:r>
      <w:r w:rsidR="00F03E53">
        <w:rPr>
          <w:rFonts w:ascii="Trebuchet MS" w:hAnsi="Trebuchet MS"/>
          <w:spacing w:val="20"/>
        </w:rPr>
        <w:t>“</w:t>
      </w:r>
      <w:r w:rsidR="00F03E53" w:rsidRPr="00F8327D">
        <w:rPr>
          <w:rFonts w:ascii="Trebuchet MS" w:hAnsi="Trebuchet MS"/>
          <w:b/>
          <w:i/>
          <w:spacing w:val="20"/>
        </w:rPr>
        <w:t>Nothing in paragraph 11 hereof shall preclude a House of Assembly from making laws with respect to election to a local government council in addition to but not inconsistent with any law made by the National Assembly.</w:t>
      </w:r>
      <w:r w:rsidR="00F03E53">
        <w:rPr>
          <w:rFonts w:ascii="Trebuchet MS" w:hAnsi="Trebuchet MS"/>
          <w:spacing w:val="20"/>
        </w:rPr>
        <w:t>”</w:t>
      </w:r>
    </w:p>
    <w:p w14:paraId="1374E0FB" w14:textId="77777777" w:rsidR="008E3BE9" w:rsidRDefault="008E3BE9" w:rsidP="00E47BA8">
      <w:pPr>
        <w:spacing w:line="480" w:lineRule="auto"/>
        <w:contextualSpacing/>
        <w:jc w:val="both"/>
        <w:rPr>
          <w:rFonts w:ascii="Trebuchet MS" w:hAnsi="Trebuchet MS"/>
          <w:spacing w:val="20"/>
        </w:rPr>
      </w:pPr>
    </w:p>
    <w:p w14:paraId="40733BB0" w14:textId="25FF8D27" w:rsidR="00714477" w:rsidRDefault="006B0AC3" w:rsidP="00E47BA8">
      <w:pPr>
        <w:spacing w:line="480" w:lineRule="auto"/>
        <w:contextualSpacing/>
        <w:jc w:val="both"/>
        <w:rPr>
          <w:rFonts w:ascii="Trebuchet MS" w:hAnsi="Trebuchet MS"/>
          <w:spacing w:val="20"/>
        </w:rPr>
      </w:pPr>
      <w:r>
        <w:rPr>
          <w:rFonts w:ascii="Trebuchet MS" w:hAnsi="Trebuchet MS"/>
          <w:spacing w:val="20"/>
        </w:rPr>
        <w:t>This provision of item 12</w:t>
      </w:r>
      <w:r w:rsidR="006D625F" w:rsidRPr="006D625F">
        <w:rPr>
          <w:rFonts w:ascii="Trebuchet MS" w:hAnsi="Trebuchet MS"/>
          <w:spacing w:val="20"/>
        </w:rPr>
        <w:t xml:space="preserve"> </w:t>
      </w:r>
      <w:r w:rsidR="006D625F">
        <w:rPr>
          <w:rFonts w:ascii="Trebuchet MS" w:hAnsi="Trebuchet MS"/>
          <w:spacing w:val="20"/>
        </w:rPr>
        <w:t>of Part II of the Second Schedule</w:t>
      </w:r>
      <w:r>
        <w:rPr>
          <w:rFonts w:ascii="Trebuchet MS" w:hAnsi="Trebuchet MS"/>
          <w:spacing w:val="20"/>
        </w:rPr>
        <w:t xml:space="preserve"> have made several States of the Federation to enact their respective </w:t>
      </w:r>
      <w:r w:rsidR="006A6983">
        <w:rPr>
          <w:rFonts w:ascii="Trebuchet MS" w:hAnsi="Trebuchet MS"/>
          <w:spacing w:val="20"/>
        </w:rPr>
        <w:t xml:space="preserve">Independent Electoral Commission Law and </w:t>
      </w:r>
      <w:r>
        <w:rPr>
          <w:rFonts w:ascii="Trebuchet MS" w:hAnsi="Trebuchet MS"/>
          <w:spacing w:val="20"/>
        </w:rPr>
        <w:t>Local Government</w:t>
      </w:r>
      <w:r w:rsidR="009B072D">
        <w:rPr>
          <w:rFonts w:ascii="Trebuchet MS" w:hAnsi="Trebuchet MS"/>
          <w:spacing w:val="20"/>
        </w:rPr>
        <w:t xml:space="preserve"> Elect</w:t>
      </w:r>
      <w:r w:rsidR="00941296">
        <w:rPr>
          <w:rFonts w:ascii="Trebuchet MS" w:hAnsi="Trebuchet MS"/>
          <w:spacing w:val="20"/>
        </w:rPr>
        <w:t>ion Tribunal Law</w:t>
      </w:r>
      <w:r w:rsidR="008416F6">
        <w:rPr>
          <w:rFonts w:ascii="Trebuchet MS" w:hAnsi="Trebuchet MS"/>
          <w:spacing w:val="20"/>
        </w:rPr>
        <w:t>.</w:t>
      </w:r>
      <w:r w:rsidR="009B072D">
        <w:rPr>
          <w:rFonts w:ascii="Trebuchet MS" w:hAnsi="Trebuchet MS"/>
          <w:spacing w:val="20"/>
        </w:rPr>
        <w:t xml:space="preserve"> </w:t>
      </w:r>
      <w:r w:rsidR="008416F6">
        <w:rPr>
          <w:rFonts w:ascii="Trebuchet MS" w:hAnsi="Trebuchet MS"/>
          <w:spacing w:val="20"/>
        </w:rPr>
        <w:t>For instance, the Lagos State House of Assembly passed into law</w:t>
      </w:r>
      <w:r w:rsidR="006A6983">
        <w:rPr>
          <w:rFonts w:ascii="Trebuchet MS" w:hAnsi="Trebuchet MS"/>
          <w:spacing w:val="20"/>
        </w:rPr>
        <w:t>,</w:t>
      </w:r>
      <w:r w:rsidR="008416F6">
        <w:rPr>
          <w:rFonts w:ascii="Trebuchet MS" w:hAnsi="Trebuchet MS"/>
          <w:spacing w:val="20"/>
        </w:rPr>
        <w:t xml:space="preserve"> </w:t>
      </w:r>
      <w:r w:rsidR="006A6983" w:rsidRPr="008E582C">
        <w:rPr>
          <w:rFonts w:ascii="Trebuchet MS" w:hAnsi="Trebuchet MS"/>
          <w:spacing w:val="20"/>
        </w:rPr>
        <w:t>Lagos State Independent Electoral Commission Law, 2001</w:t>
      </w:r>
      <w:r w:rsidR="006A6983">
        <w:rPr>
          <w:rFonts w:ascii="Trebuchet MS" w:hAnsi="Trebuchet MS"/>
          <w:spacing w:val="20"/>
        </w:rPr>
        <w:t xml:space="preserve"> and </w:t>
      </w:r>
      <w:r w:rsidR="008416F6">
        <w:rPr>
          <w:rFonts w:ascii="Trebuchet MS" w:hAnsi="Trebuchet MS"/>
          <w:spacing w:val="20"/>
        </w:rPr>
        <w:t>the Local Government Election Tribunal Law, 2001</w:t>
      </w:r>
      <w:r w:rsidR="00382397">
        <w:rPr>
          <w:rFonts w:ascii="Trebuchet MS" w:hAnsi="Trebuchet MS"/>
          <w:spacing w:val="20"/>
        </w:rPr>
        <w:t>.</w:t>
      </w:r>
      <w:r w:rsidR="00382397">
        <w:rPr>
          <w:rStyle w:val="FootnoteReference"/>
          <w:rFonts w:ascii="Trebuchet MS" w:hAnsi="Trebuchet MS"/>
          <w:spacing w:val="20"/>
        </w:rPr>
        <w:footnoteReference w:id="41"/>
      </w:r>
      <w:r w:rsidR="008416F6">
        <w:rPr>
          <w:rFonts w:ascii="Trebuchet MS" w:hAnsi="Trebuchet MS"/>
          <w:spacing w:val="20"/>
        </w:rPr>
        <w:t xml:space="preserve"> </w:t>
      </w:r>
      <w:r w:rsidR="006A6983">
        <w:rPr>
          <w:rFonts w:ascii="Trebuchet MS" w:hAnsi="Trebuchet MS"/>
          <w:spacing w:val="20"/>
        </w:rPr>
        <w:t>While the Lagos State Independent Electoral Commission Law, 2001</w:t>
      </w:r>
      <w:r w:rsidR="002574B4">
        <w:rPr>
          <w:rFonts w:ascii="Trebuchet MS" w:hAnsi="Trebuchet MS"/>
          <w:spacing w:val="20"/>
        </w:rPr>
        <w:t xml:space="preserve"> establishes the Lagos State Independent Electoral Commission and also regulates electoral process into the office of the Chairman and Councilors,</w:t>
      </w:r>
      <w:r w:rsidR="006A6983">
        <w:rPr>
          <w:rFonts w:ascii="Trebuchet MS" w:hAnsi="Trebuchet MS"/>
          <w:spacing w:val="20"/>
        </w:rPr>
        <w:t xml:space="preserve"> </w:t>
      </w:r>
      <w:r w:rsidR="002574B4">
        <w:rPr>
          <w:rFonts w:ascii="Trebuchet MS" w:hAnsi="Trebuchet MS"/>
          <w:spacing w:val="20"/>
        </w:rPr>
        <w:t>t</w:t>
      </w:r>
      <w:r w:rsidR="008416F6">
        <w:rPr>
          <w:rFonts w:ascii="Trebuchet MS" w:hAnsi="Trebuchet MS"/>
          <w:spacing w:val="20"/>
        </w:rPr>
        <w:t xml:space="preserve">he said Local Government Election Tribunal Law establishes the </w:t>
      </w:r>
      <w:r w:rsidR="009B072D">
        <w:rPr>
          <w:rFonts w:ascii="Trebuchet MS" w:hAnsi="Trebuchet MS"/>
          <w:spacing w:val="20"/>
        </w:rPr>
        <w:t xml:space="preserve">Local Government </w:t>
      </w:r>
      <w:r w:rsidR="008416F6">
        <w:rPr>
          <w:rFonts w:ascii="Trebuchet MS" w:hAnsi="Trebuchet MS"/>
          <w:spacing w:val="20"/>
        </w:rPr>
        <w:t>Election Tribunals</w:t>
      </w:r>
      <w:r w:rsidR="00366EDE">
        <w:rPr>
          <w:rStyle w:val="FootnoteReference"/>
          <w:rFonts w:ascii="Trebuchet MS" w:hAnsi="Trebuchet MS"/>
          <w:spacing w:val="20"/>
        </w:rPr>
        <w:footnoteReference w:id="42"/>
      </w:r>
      <w:r w:rsidR="008416F6">
        <w:rPr>
          <w:rFonts w:ascii="Trebuchet MS" w:hAnsi="Trebuchet MS"/>
          <w:spacing w:val="20"/>
        </w:rPr>
        <w:t xml:space="preserve"> and </w:t>
      </w:r>
      <w:r w:rsidR="002574B4">
        <w:rPr>
          <w:rFonts w:ascii="Trebuchet MS" w:hAnsi="Trebuchet MS"/>
          <w:spacing w:val="20"/>
        </w:rPr>
        <w:t xml:space="preserve">stipulates </w:t>
      </w:r>
      <w:r w:rsidR="004E308D">
        <w:rPr>
          <w:rFonts w:ascii="Trebuchet MS" w:hAnsi="Trebuchet MS"/>
          <w:spacing w:val="20"/>
        </w:rPr>
        <w:t xml:space="preserve">the </w:t>
      </w:r>
      <w:r w:rsidR="008416F6">
        <w:rPr>
          <w:rFonts w:ascii="Trebuchet MS" w:hAnsi="Trebuchet MS"/>
          <w:spacing w:val="20"/>
        </w:rPr>
        <w:t>procedure</w:t>
      </w:r>
      <w:r w:rsidR="004E308D">
        <w:rPr>
          <w:rFonts w:ascii="Trebuchet MS" w:hAnsi="Trebuchet MS"/>
          <w:spacing w:val="20"/>
        </w:rPr>
        <w:t xml:space="preserve"> </w:t>
      </w:r>
      <w:r w:rsidR="002574B4">
        <w:rPr>
          <w:rFonts w:ascii="Trebuchet MS" w:hAnsi="Trebuchet MS"/>
          <w:spacing w:val="20"/>
        </w:rPr>
        <w:t xml:space="preserve">for </w:t>
      </w:r>
      <w:r w:rsidR="00366EDE">
        <w:rPr>
          <w:rFonts w:ascii="Trebuchet MS" w:hAnsi="Trebuchet MS"/>
          <w:spacing w:val="20"/>
        </w:rPr>
        <w:t xml:space="preserve">questioning </w:t>
      </w:r>
      <w:r w:rsidR="002574B4">
        <w:rPr>
          <w:rFonts w:ascii="Trebuchet MS" w:hAnsi="Trebuchet MS"/>
          <w:spacing w:val="20"/>
        </w:rPr>
        <w:t xml:space="preserve">of </w:t>
      </w:r>
      <w:r w:rsidR="004E308D">
        <w:rPr>
          <w:rFonts w:ascii="Trebuchet MS" w:hAnsi="Trebuchet MS"/>
          <w:spacing w:val="20"/>
        </w:rPr>
        <w:t>election petiti</w:t>
      </w:r>
      <w:r w:rsidR="00735615">
        <w:rPr>
          <w:rFonts w:ascii="Trebuchet MS" w:hAnsi="Trebuchet MS"/>
          <w:spacing w:val="20"/>
        </w:rPr>
        <w:t>on before the election tribunal</w:t>
      </w:r>
      <w:r w:rsidR="004E308D">
        <w:rPr>
          <w:rFonts w:ascii="Trebuchet MS" w:hAnsi="Trebuchet MS"/>
          <w:spacing w:val="20"/>
        </w:rPr>
        <w:t xml:space="preserve">. </w:t>
      </w:r>
    </w:p>
    <w:p w14:paraId="7333DD9B" w14:textId="77777777" w:rsidR="002E0538" w:rsidRDefault="002E0538" w:rsidP="00E47BA8">
      <w:pPr>
        <w:spacing w:line="480" w:lineRule="auto"/>
        <w:contextualSpacing/>
        <w:jc w:val="both"/>
        <w:rPr>
          <w:rFonts w:ascii="Trebuchet MS" w:hAnsi="Trebuchet MS"/>
          <w:spacing w:val="20"/>
        </w:rPr>
      </w:pPr>
    </w:p>
    <w:p w14:paraId="3272A100" w14:textId="68061BA4" w:rsidR="00500E3F" w:rsidRDefault="00D3788F" w:rsidP="00E47BA8">
      <w:pPr>
        <w:spacing w:line="480" w:lineRule="auto"/>
        <w:contextualSpacing/>
        <w:jc w:val="both"/>
        <w:rPr>
          <w:rFonts w:ascii="Trebuchet MS" w:hAnsi="Trebuchet MS"/>
          <w:spacing w:val="20"/>
        </w:rPr>
      </w:pPr>
      <w:r>
        <w:rPr>
          <w:rFonts w:ascii="Trebuchet MS" w:hAnsi="Trebuchet MS"/>
          <w:spacing w:val="20"/>
        </w:rPr>
        <w:t>T</w:t>
      </w:r>
      <w:r w:rsidR="00382397">
        <w:rPr>
          <w:rFonts w:ascii="Trebuchet MS" w:hAnsi="Trebuchet MS"/>
          <w:spacing w:val="20"/>
        </w:rPr>
        <w:t>he</w:t>
      </w:r>
      <w:r>
        <w:rPr>
          <w:rFonts w:ascii="Trebuchet MS" w:hAnsi="Trebuchet MS"/>
          <w:spacing w:val="20"/>
        </w:rPr>
        <w:t xml:space="preserve"> Local Government Election Tribunals</w:t>
      </w:r>
      <w:r w:rsidR="00500E3F">
        <w:rPr>
          <w:rFonts w:ascii="Trebuchet MS" w:hAnsi="Trebuchet MS"/>
          <w:spacing w:val="20"/>
        </w:rPr>
        <w:t xml:space="preserve"> of Lagos State have, to the exclusion of any other Tribunal or Court, original jurisdiction to hear and determine the following questions:</w:t>
      </w:r>
    </w:p>
    <w:p w14:paraId="13EA8686" w14:textId="768185C8" w:rsidR="00500E3F" w:rsidRPr="008E582C" w:rsidRDefault="00500E3F" w:rsidP="00E47BA8">
      <w:pPr>
        <w:pStyle w:val="ListParagraph"/>
        <w:numPr>
          <w:ilvl w:val="0"/>
          <w:numId w:val="16"/>
        </w:numPr>
        <w:spacing w:line="480" w:lineRule="auto"/>
        <w:jc w:val="both"/>
        <w:rPr>
          <w:rFonts w:ascii="Trebuchet MS" w:hAnsi="Trebuchet MS"/>
          <w:spacing w:val="20"/>
        </w:rPr>
      </w:pPr>
      <w:r w:rsidRPr="008E582C">
        <w:rPr>
          <w:rFonts w:ascii="Trebuchet MS" w:hAnsi="Trebuchet MS"/>
          <w:spacing w:val="20"/>
        </w:rPr>
        <w:t>election petitions as to whether a person has been v</w:t>
      </w:r>
      <w:r w:rsidRPr="00500E3F">
        <w:rPr>
          <w:rFonts w:ascii="Trebuchet MS" w:hAnsi="Trebuchet MS"/>
          <w:spacing w:val="20"/>
        </w:rPr>
        <w:t xml:space="preserve">alidly elected as chairman or </w:t>
      </w:r>
      <w:r w:rsidR="00BD707E" w:rsidRPr="00500E3F">
        <w:rPr>
          <w:rFonts w:ascii="Trebuchet MS" w:hAnsi="Trebuchet MS"/>
          <w:spacing w:val="20"/>
        </w:rPr>
        <w:t>c</w:t>
      </w:r>
      <w:r w:rsidR="00BD707E" w:rsidRPr="00BD707E">
        <w:rPr>
          <w:rFonts w:ascii="Trebuchet MS" w:hAnsi="Trebuchet MS"/>
          <w:spacing w:val="20"/>
        </w:rPr>
        <w:t>ouncilor</w:t>
      </w:r>
      <w:r w:rsidRPr="008E582C">
        <w:rPr>
          <w:rFonts w:ascii="Trebuchet MS" w:hAnsi="Trebuchet MS"/>
          <w:spacing w:val="20"/>
        </w:rPr>
        <w:t xml:space="preserve"> of a Local Government Council;</w:t>
      </w:r>
    </w:p>
    <w:p w14:paraId="437E31F5" w14:textId="77777777" w:rsidR="00500E3F" w:rsidRDefault="00500E3F" w:rsidP="00E47BA8">
      <w:pPr>
        <w:pStyle w:val="ListParagraph"/>
        <w:numPr>
          <w:ilvl w:val="0"/>
          <w:numId w:val="16"/>
        </w:numPr>
        <w:spacing w:line="480" w:lineRule="auto"/>
        <w:jc w:val="both"/>
        <w:rPr>
          <w:rFonts w:ascii="Trebuchet MS" w:hAnsi="Trebuchet MS"/>
          <w:spacing w:val="20"/>
        </w:rPr>
      </w:pPr>
      <w:r>
        <w:rPr>
          <w:rFonts w:ascii="Trebuchet MS" w:hAnsi="Trebuchet MS"/>
          <w:spacing w:val="20"/>
        </w:rPr>
        <w:t>any question as to whether the term of office of any person as chairman of a Local Government Council has ceased;</w:t>
      </w:r>
    </w:p>
    <w:p w14:paraId="7845B03A" w14:textId="74527D07" w:rsidR="002E0538" w:rsidRPr="008E582C" w:rsidRDefault="00500E3F" w:rsidP="00E47BA8">
      <w:pPr>
        <w:pStyle w:val="ListParagraph"/>
        <w:numPr>
          <w:ilvl w:val="0"/>
          <w:numId w:val="16"/>
        </w:numPr>
        <w:spacing w:line="480" w:lineRule="auto"/>
        <w:jc w:val="both"/>
        <w:rPr>
          <w:rFonts w:ascii="Trebuchet MS" w:hAnsi="Trebuchet MS"/>
          <w:spacing w:val="20"/>
        </w:rPr>
      </w:pPr>
      <w:r>
        <w:rPr>
          <w:rFonts w:ascii="Trebuchet MS" w:hAnsi="Trebuchet MS"/>
          <w:spacing w:val="20"/>
        </w:rPr>
        <w:t>any question as to whether an election petition is proper or improper before the</w:t>
      </w:r>
      <w:r w:rsidRPr="008E582C">
        <w:rPr>
          <w:rFonts w:ascii="Trebuchet MS" w:hAnsi="Trebuchet MS"/>
          <w:spacing w:val="20"/>
        </w:rPr>
        <w:t xml:space="preserve"> </w:t>
      </w:r>
      <w:r>
        <w:rPr>
          <w:rFonts w:ascii="Trebuchet MS" w:hAnsi="Trebuchet MS"/>
          <w:spacing w:val="20"/>
        </w:rPr>
        <w:t>Election tribunal.</w:t>
      </w:r>
      <w:r>
        <w:rPr>
          <w:rStyle w:val="FootnoteReference"/>
          <w:rFonts w:ascii="Trebuchet MS" w:hAnsi="Trebuchet MS"/>
          <w:spacing w:val="20"/>
        </w:rPr>
        <w:footnoteReference w:id="43"/>
      </w:r>
      <w:r w:rsidR="00382397" w:rsidRPr="008E582C">
        <w:rPr>
          <w:rFonts w:ascii="Trebuchet MS" w:hAnsi="Trebuchet MS"/>
          <w:spacing w:val="20"/>
        </w:rPr>
        <w:t xml:space="preserve"> </w:t>
      </w:r>
    </w:p>
    <w:p w14:paraId="1B394F17" w14:textId="77777777" w:rsidR="00C22964" w:rsidRDefault="00C22964" w:rsidP="00E47BA8">
      <w:pPr>
        <w:spacing w:line="480" w:lineRule="auto"/>
        <w:contextualSpacing/>
        <w:jc w:val="both"/>
        <w:rPr>
          <w:rFonts w:ascii="Trebuchet MS" w:hAnsi="Trebuchet MS"/>
          <w:spacing w:val="20"/>
        </w:rPr>
      </w:pPr>
    </w:p>
    <w:p w14:paraId="0D7AAB82" w14:textId="306D5F02" w:rsidR="007D3286" w:rsidRDefault="00E2754F" w:rsidP="00E47BA8">
      <w:pPr>
        <w:spacing w:line="480" w:lineRule="auto"/>
        <w:contextualSpacing/>
        <w:jc w:val="both"/>
        <w:rPr>
          <w:rFonts w:ascii="Trebuchet MS" w:hAnsi="Trebuchet MS"/>
          <w:spacing w:val="20"/>
        </w:rPr>
      </w:pPr>
      <w:r>
        <w:rPr>
          <w:rFonts w:ascii="Trebuchet MS" w:hAnsi="Trebuchet MS"/>
          <w:spacing w:val="20"/>
        </w:rPr>
        <w:t>A Local Government Election Tribunal shall consist of a chairman and four other members all of whom shall be persons of unquestionable integrity and not involved in party politics.</w:t>
      </w:r>
      <w:r>
        <w:rPr>
          <w:rStyle w:val="FootnoteReference"/>
          <w:rFonts w:ascii="Trebuchet MS" w:hAnsi="Trebuchet MS"/>
          <w:spacing w:val="20"/>
        </w:rPr>
        <w:footnoteReference w:id="44"/>
      </w:r>
      <w:r>
        <w:rPr>
          <w:rFonts w:ascii="Trebuchet MS" w:hAnsi="Trebuchet MS"/>
          <w:spacing w:val="20"/>
        </w:rPr>
        <w:t xml:space="preserve"> The chairman shall be a person who has held the office of a Judge of a High Court or is qualified to hold the office of a Judge of a </w:t>
      </w:r>
      <w:r w:rsidR="00BA4D72">
        <w:rPr>
          <w:rFonts w:ascii="Trebuchet MS" w:hAnsi="Trebuchet MS"/>
          <w:spacing w:val="20"/>
        </w:rPr>
        <w:t xml:space="preserve">High Court. </w:t>
      </w:r>
      <w:r>
        <w:rPr>
          <w:rFonts w:ascii="Trebuchet MS" w:hAnsi="Trebuchet MS"/>
          <w:spacing w:val="20"/>
        </w:rPr>
        <w:t>The other members</w:t>
      </w:r>
      <w:r w:rsidR="005C670E">
        <w:rPr>
          <w:rFonts w:ascii="Trebuchet MS" w:hAnsi="Trebuchet MS"/>
          <w:spacing w:val="20"/>
        </w:rPr>
        <w:t xml:space="preserve"> of the Tribunal shall be appointed from members of the Judiciary not below the rank of a Chief Magistrate.</w:t>
      </w:r>
      <w:r w:rsidR="00F04963">
        <w:rPr>
          <w:rStyle w:val="FootnoteReference"/>
          <w:rFonts w:ascii="Trebuchet MS" w:hAnsi="Trebuchet MS"/>
          <w:spacing w:val="20"/>
        </w:rPr>
        <w:footnoteReference w:id="45"/>
      </w:r>
      <w:r w:rsidR="00F04963">
        <w:rPr>
          <w:rFonts w:ascii="Trebuchet MS" w:hAnsi="Trebuchet MS"/>
          <w:spacing w:val="20"/>
        </w:rPr>
        <w:t xml:space="preserve"> The appointment of the Chairman and other members shall be by the Chief Judge of the State.</w:t>
      </w:r>
      <w:r w:rsidR="00F04963">
        <w:rPr>
          <w:rStyle w:val="FootnoteReference"/>
          <w:rFonts w:ascii="Trebuchet MS" w:hAnsi="Trebuchet MS"/>
          <w:spacing w:val="20"/>
        </w:rPr>
        <w:footnoteReference w:id="46"/>
      </w:r>
      <w:r w:rsidR="00AF1310">
        <w:rPr>
          <w:rFonts w:ascii="Trebuchet MS" w:hAnsi="Trebuchet MS"/>
          <w:spacing w:val="20"/>
        </w:rPr>
        <w:t xml:space="preserve"> </w:t>
      </w:r>
      <w:r w:rsidR="00BA4D72">
        <w:rPr>
          <w:rFonts w:ascii="Trebuchet MS" w:hAnsi="Trebuchet MS"/>
          <w:spacing w:val="20"/>
        </w:rPr>
        <w:t xml:space="preserve"> </w:t>
      </w:r>
    </w:p>
    <w:p w14:paraId="6EE2A8D0" w14:textId="77777777" w:rsidR="00BA4D72" w:rsidRDefault="00BA4D72" w:rsidP="00E47BA8">
      <w:pPr>
        <w:spacing w:line="480" w:lineRule="auto"/>
        <w:contextualSpacing/>
        <w:jc w:val="both"/>
        <w:rPr>
          <w:rFonts w:ascii="Trebuchet MS" w:hAnsi="Trebuchet MS"/>
          <w:spacing w:val="20"/>
        </w:rPr>
      </w:pPr>
    </w:p>
    <w:p w14:paraId="2747E7C9" w14:textId="12104B85" w:rsidR="004F3CE4" w:rsidRDefault="00BA4D72" w:rsidP="00E47BA8">
      <w:pPr>
        <w:spacing w:line="480" w:lineRule="auto"/>
        <w:contextualSpacing/>
        <w:jc w:val="both"/>
        <w:rPr>
          <w:rFonts w:ascii="Trebuchet MS" w:hAnsi="Trebuchet MS"/>
          <w:spacing w:val="20"/>
        </w:rPr>
      </w:pPr>
      <w:r>
        <w:rPr>
          <w:rFonts w:ascii="Trebuchet MS" w:hAnsi="Trebuchet MS"/>
          <w:spacing w:val="20"/>
        </w:rPr>
        <w:t xml:space="preserve">An election petition shall be presented within 21 days from the date of </w:t>
      </w:r>
      <w:r w:rsidR="003B71CC">
        <w:rPr>
          <w:rFonts w:ascii="Trebuchet MS" w:hAnsi="Trebuchet MS"/>
          <w:spacing w:val="20"/>
        </w:rPr>
        <w:t>declaration of the result</w:t>
      </w:r>
      <w:r w:rsidR="003B71CC">
        <w:rPr>
          <w:rStyle w:val="FootnoteReference"/>
          <w:rFonts w:ascii="Trebuchet MS" w:hAnsi="Trebuchet MS"/>
          <w:spacing w:val="20"/>
        </w:rPr>
        <w:footnoteReference w:id="47"/>
      </w:r>
      <w:r w:rsidR="003B71CC">
        <w:rPr>
          <w:rFonts w:ascii="Trebuchet MS" w:hAnsi="Trebuchet MS"/>
          <w:spacing w:val="20"/>
        </w:rPr>
        <w:t xml:space="preserve"> </w:t>
      </w:r>
      <w:r w:rsidR="00284865">
        <w:rPr>
          <w:rFonts w:ascii="Trebuchet MS" w:hAnsi="Trebuchet MS"/>
          <w:spacing w:val="20"/>
        </w:rPr>
        <w:t>but w</w:t>
      </w:r>
      <w:r w:rsidR="003B71CC">
        <w:rPr>
          <w:rFonts w:ascii="Trebuchet MS" w:hAnsi="Trebuchet MS"/>
          <w:spacing w:val="20"/>
        </w:rPr>
        <w:t xml:space="preserve">here </w:t>
      </w:r>
      <w:r w:rsidR="00284865">
        <w:rPr>
          <w:rFonts w:ascii="Trebuchet MS" w:hAnsi="Trebuchet MS"/>
          <w:spacing w:val="20"/>
        </w:rPr>
        <w:t>an election petition is not</w:t>
      </w:r>
      <w:r w:rsidR="003B71CC">
        <w:rPr>
          <w:rFonts w:ascii="Trebuchet MS" w:hAnsi="Trebuchet MS"/>
          <w:spacing w:val="20"/>
        </w:rPr>
        <w:t xml:space="preserve"> presented within 21 days of the declaration of result, such election petition shall not be declared incompetent if the election petition if filed within 21 days from the date the registry of the Election Tribunal was opened.</w:t>
      </w:r>
      <w:r w:rsidR="00284865">
        <w:rPr>
          <w:rStyle w:val="FootnoteReference"/>
          <w:rFonts w:ascii="Trebuchet MS" w:hAnsi="Trebuchet MS"/>
          <w:spacing w:val="20"/>
        </w:rPr>
        <w:footnoteReference w:id="48"/>
      </w:r>
      <w:r w:rsidR="004F3CE4">
        <w:rPr>
          <w:rFonts w:ascii="Trebuchet MS" w:hAnsi="Trebuchet MS"/>
          <w:spacing w:val="20"/>
        </w:rPr>
        <w:t xml:space="preserve"> The implication of the above provisions is that an election petition shall be presented either within 21 days from the date of declaration of result or within 21 days from the date the registry of the Local Government Election Tribunal was opened.</w:t>
      </w:r>
      <w:r w:rsidR="00506E3F">
        <w:rPr>
          <w:rFonts w:ascii="Trebuchet MS" w:hAnsi="Trebuchet MS"/>
          <w:spacing w:val="20"/>
        </w:rPr>
        <w:t xml:space="preserve"> </w:t>
      </w:r>
    </w:p>
    <w:p w14:paraId="162DDDA6" w14:textId="77777777" w:rsidR="00951375" w:rsidRDefault="00951375" w:rsidP="00E47BA8">
      <w:pPr>
        <w:spacing w:line="480" w:lineRule="auto"/>
        <w:contextualSpacing/>
        <w:jc w:val="both"/>
        <w:rPr>
          <w:rFonts w:ascii="Trebuchet MS" w:hAnsi="Trebuchet MS"/>
          <w:spacing w:val="20"/>
        </w:rPr>
      </w:pPr>
    </w:p>
    <w:p w14:paraId="72D96FCE" w14:textId="53FECAAD" w:rsidR="00ED5F3F" w:rsidRDefault="00577E1C" w:rsidP="00E47BA8">
      <w:pPr>
        <w:spacing w:line="480" w:lineRule="auto"/>
        <w:contextualSpacing/>
        <w:jc w:val="both"/>
        <w:rPr>
          <w:rFonts w:ascii="Trebuchet MS" w:hAnsi="Trebuchet MS"/>
          <w:spacing w:val="20"/>
        </w:rPr>
      </w:pPr>
      <w:r>
        <w:rPr>
          <w:rFonts w:ascii="Trebuchet MS" w:hAnsi="Trebuchet MS"/>
          <w:spacing w:val="20"/>
        </w:rPr>
        <w:t>A</w:t>
      </w:r>
      <w:r w:rsidR="00951375">
        <w:rPr>
          <w:rFonts w:ascii="Trebuchet MS" w:hAnsi="Trebuchet MS"/>
          <w:spacing w:val="20"/>
        </w:rPr>
        <w:t>n election petition shall be heard and determined within 30 days from the date of filing of the petition</w:t>
      </w:r>
      <w:r w:rsidR="00A979D4">
        <w:rPr>
          <w:rStyle w:val="FootnoteReference"/>
          <w:rFonts w:ascii="Trebuchet MS" w:hAnsi="Trebuchet MS"/>
          <w:spacing w:val="20"/>
        </w:rPr>
        <w:footnoteReference w:id="49"/>
      </w:r>
      <w:r w:rsidR="00951375">
        <w:rPr>
          <w:rFonts w:ascii="Trebuchet MS" w:hAnsi="Trebuchet MS"/>
          <w:spacing w:val="20"/>
        </w:rPr>
        <w:t xml:space="preserve"> </w:t>
      </w:r>
      <w:r>
        <w:rPr>
          <w:rFonts w:ascii="Trebuchet MS" w:hAnsi="Trebuchet MS"/>
          <w:spacing w:val="20"/>
        </w:rPr>
        <w:t xml:space="preserve">and </w:t>
      </w:r>
      <w:r w:rsidR="00951375">
        <w:rPr>
          <w:rFonts w:ascii="Trebuchet MS" w:hAnsi="Trebuchet MS"/>
          <w:spacing w:val="20"/>
        </w:rPr>
        <w:t>an appeal from the decision of the Local</w:t>
      </w:r>
      <w:r w:rsidR="00676BE0">
        <w:rPr>
          <w:rFonts w:ascii="Trebuchet MS" w:hAnsi="Trebuchet MS"/>
          <w:spacing w:val="20"/>
        </w:rPr>
        <w:t xml:space="preserve"> Government Election T</w:t>
      </w:r>
      <w:r w:rsidR="00951375">
        <w:rPr>
          <w:rFonts w:ascii="Trebuchet MS" w:hAnsi="Trebuchet MS"/>
          <w:spacing w:val="20"/>
        </w:rPr>
        <w:t>ribunal</w:t>
      </w:r>
      <w:r w:rsidR="00A355AF">
        <w:rPr>
          <w:rFonts w:ascii="Trebuchet MS" w:hAnsi="Trebuchet MS"/>
          <w:spacing w:val="20"/>
        </w:rPr>
        <w:t xml:space="preserve"> shall be heard and determined within 21 days from the date of filing of the appeal</w:t>
      </w:r>
      <w:r w:rsidR="00951375">
        <w:rPr>
          <w:rFonts w:ascii="Trebuchet MS" w:hAnsi="Trebuchet MS"/>
          <w:spacing w:val="20"/>
        </w:rPr>
        <w:t>.</w:t>
      </w:r>
      <w:r w:rsidR="00A979D4">
        <w:rPr>
          <w:rStyle w:val="FootnoteReference"/>
          <w:rFonts w:ascii="Trebuchet MS" w:hAnsi="Trebuchet MS"/>
          <w:spacing w:val="20"/>
        </w:rPr>
        <w:footnoteReference w:id="50"/>
      </w:r>
      <w:r w:rsidR="001617EE">
        <w:rPr>
          <w:rFonts w:ascii="Trebuchet MS" w:hAnsi="Trebuchet MS"/>
          <w:spacing w:val="20"/>
        </w:rPr>
        <w:t xml:space="preserve"> It is pertinent to note that where an election petition is not heard and determined within the prescribed 30 days</w:t>
      </w:r>
      <w:r w:rsidR="002A7469">
        <w:rPr>
          <w:rFonts w:ascii="Trebuchet MS" w:hAnsi="Trebuchet MS"/>
          <w:spacing w:val="20"/>
        </w:rPr>
        <w:t xml:space="preserve"> or an appeal is not heard and determined within the 21 days</w:t>
      </w:r>
      <w:r w:rsidR="001617EE">
        <w:rPr>
          <w:rFonts w:ascii="Trebuchet MS" w:hAnsi="Trebuchet MS"/>
          <w:spacing w:val="20"/>
        </w:rPr>
        <w:t xml:space="preserve">, </w:t>
      </w:r>
      <w:r w:rsidR="00573AB1">
        <w:rPr>
          <w:rFonts w:ascii="Trebuchet MS" w:hAnsi="Trebuchet MS"/>
          <w:spacing w:val="20"/>
        </w:rPr>
        <w:t>section 54</w:t>
      </w:r>
      <w:r w:rsidR="00573AB1">
        <w:rPr>
          <w:rStyle w:val="FootnoteReference"/>
          <w:rFonts w:ascii="Trebuchet MS" w:hAnsi="Trebuchet MS"/>
          <w:spacing w:val="20"/>
        </w:rPr>
        <w:footnoteReference w:id="51"/>
      </w:r>
      <w:r w:rsidR="00573AB1">
        <w:rPr>
          <w:rFonts w:ascii="Trebuchet MS" w:hAnsi="Trebuchet MS"/>
          <w:spacing w:val="20"/>
        </w:rPr>
        <w:t xml:space="preserve"> gives </w:t>
      </w:r>
      <w:r w:rsidR="001617EE">
        <w:rPr>
          <w:rFonts w:ascii="Trebuchet MS" w:hAnsi="Trebuchet MS"/>
          <w:spacing w:val="20"/>
        </w:rPr>
        <w:t>the Local Government Election Tribunal</w:t>
      </w:r>
      <w:r w:rsidR="002A7469">
        <w:rPr>
          <w:rFonts w:ascii="Trebuchet MS" w:hAnsi="Trebuchet MS"/>
          <w:spacing w:val="20"/>
        </w:rPr>
        <w:t xml:space="preserve"> and the Election Appeal Tribunal</w:t>
      </w:r>
      <w:r w:rsidR="002A7469">
        <w:rPr>
          <w:rStyle w:val="FootnoteReference"/>
          <w:rFonts w:ascii="Trebuchet MS" w:hAnsi="Trebuchet MS"/>
          <w:spacing w:val="20"/>
        </w:rPr>
        <w:footnoteReference w:id="52"/>
      </w:r>
      <w:r w:rsidR="001617EE">
        <w:rPr>
          <w:rFonts w:ascii="Trebuchet MS" w:hAnsi="Trebuchet MS"/>
          <w:spacing w:val="20"/>
        </w:rPr>
        <w:t xml:space="preserve"> </w:t>
      </w:r>
      <w:r w:rsidR="00573AB1">
        <w:rPr>
          <w:rFonts w:ascii="Trebuchet MS" w:hAnsi="Trebuchet MS"/>
          <w:spacing w:val="20"/>
        </w:rPr>
        <w:t>the</w:t>
      </w:r>
      <w:r w:rsidR="001617EE">
        <w:rPr>
          <w:rFonts w:ascii="Trebuchet MS" w:hAnsi="Trebuchet MS"/>
          <w:spacing w:val="20"/>
        </w:rPr>
        <w:t xml:space="preserve"> power</w:t>
      </w:r>
      <w:r w:rsidR="00573AB1">
        <w:rPr>
          <w:rFonts w:ascii="Trebuchet MS" w:hAnsi="Trebuchet MS"/>
          <w:spacing w:val="20"/>
        </w:rPr>
        <w:t>, subject to the provisions of sections 2(2) and 27 of the Law, to enlarge the time for</w:t>
      </w:r>
      <w:r w:rsidR="001617EE">
        <w:rPr>
          <w:rFonts w:ascii="Trebuchet MS" w:hAnsi="Trebuchet MS"/>
          <w:spacing w:val="20"/>
        </w:rPr>
        <w:t xml:space="preserve"> </w:t>
      </w:r>
      <w:r w:rsidR="00573AB1">
        <w:rPr>
          <w:rFonts w:ascii="Trebuchet MS" w:hAnsi="Trebuchet MS"/>
          <w:spacing w:val="20"/>
        </w:rPr>
        <w:t xml:space="preserve">determining an election petition </w:t>
      </w:r>
      <w:r w:rsidR="001617EE">
        <w:rPr>
          <w:rFonts w:ascii="Trebuchet MS" w:hAnsi="Trebuchet MS"/>
          <w:spacing w:val="20"/>
        </w:rPr>
        <w:t>on such terms as the justice of the case may require.</w:t>
      </w:r>
      <w:r w:rsidR="00174577">
        <w:rPr>
          <w:rFonts w:ascii="Trebuchet MS" w:hAnsi="Trebuchet MS"/>
          <w:spacing w:val="20"/>
        </w:rPr>
        <w:t xml:space="preserve"> It is my understanding that by the provision of section 54, the only instances in which </w:t>
      </w:r>
      <w:r w:rsidR="005D2B69">
        <w:rPr>
          <w:rFonts w:ascii="Trebuchet MS" w:hAnsi="Trebuchet MS"/>
          <w:spacing w:val="20"/>
        </w:rPr>
        <w:t xml:space="preserve">either </w:t>
      </w:r>
      <w:r w:rsidR="00174577">
        <w:rPr>
          <w:rFonts w:ascii="Trebuchet MS" w:hAnsi="Trebuchet MS"/>
          <w:spacing w:val="20"/>
        </w:rPr>
        <w:t>the Local Government Election Tribunal</w:t>
      </w:r>
      <w:r w:rsidR="005D2B69">
        <w:rPr>
          <w:rFonts w:ascii="Trebuchet MS" w:hAnsi="Trebuchet MS"/>
          <w:spacing w:val="20"/>
        </w:rPr>
        <w:t xml:space="preserve"> or Election Appeal Tribunal</w:t>
      </w:r>
      <w:r w:rsidR="00B36EEC">
        <w:rPr>
          <w:rFonts w:ascii="Trebuchet MS" w:hAnsi="Trebuchet MS"/>
          <w:spacing w:val="20"/>
        </w:rPr>
        <w:t xml:space="preserve"> does not have the power to</w:t>
      </w:r>
      <w:r w:rsidR="00174577">
        <w:rPr>
          <w:rFonts w:ascii="Trebuchet MS" w:hAnsi="Trebuchet MS"/>
          <w:spacing w:val="20"/>
        </w:rPr>
        <w:t xml:space="preserve"> enlarge time </w:t>
      </w:r>
      <w:r w:rsidR="00ED5F3F">
        <w:rPr>
          <w:rFonts w:ascii="Trebuchet MS" w:hAnsi="Trebuchet MS"/>
          <w:spacing w:val="20"/>
        </w:rPr>
        <w:t>are:</w:t>
      </w:r>
    </w:p>
    <w:p w14:paraId="789CE2D9" w14:textId="52B8387D" w:rsidR="00951375" w:rsidRPr="008E582C" w:rsidRDefault="00ED5F3F" w:rsidP="00E47BA8">
      <w:pPr>
        <w:pStyle w:val="ListParagraph"/>
        <w:numPr>
          <w:ilvl w:val="0"/>
          <w:numId w:val="17"/>
        </w:numPr>
        <w:spacing w:line="480" w:lineRule="auto"/>
        <w:jc w:val="both"/>
        <w:rPr>
          <w:rFonts w:ascii="Trebuchet MS" w:hAnsi="Trebuchet MS"/>
          <w:spacing w:val="20"/>
        </w:rPr>
      </w:pPr>
      <w:r w:rsidRPr="008E582C">
        <w:rPr>
          <w:rFonts w:ascii="Trebuchet MS" w:hAnsi="Trebuchet MS"/>
          <w:spacing w:val="20"/>
        </w:rPr>
        <w:t xml:space="preserve">the 21 days permitted for </w:t>
      </w:r>
      <w:r w:rsidR="00B36EEC" w:rsidRPr="008E582C">
        <w:rPr>
          <w:rFonts w:ascii="Trebuchet MS" w:hAnsi="Trebuchet MS"/>
          <w:spacing w:val="20"/>
        </w:rPr>
        <w:t xml:space="preserve">presentation of </w:t>
      </w:r>
      <w:r>
        <w:rPr>
          <w:rFonts w:ascii="Trebuchet MS" w:hAnsi="Trebuchet MS"/>
          <w:spacing w:val="20"/>
        </w:rPr>
        <w:t xml:space="preserve">election </w:t>
      </w:r>
      <w:r w:rsidR="00B36EEC" w:rsidRPr="008E582C">
        <w:rPr>
          <w:rFonts w:ascii="Trebuchet MS" w:hAnsi="Trebuchet MS"/>
          <w:spacing w:val="20"/>
        </w:rPr>
        <w:t>petition</w:t>
      </w:r>
      <w:r w:rsidR="00174577" w:rsidRPr="008E582C">
        <w:rPr>
          <w:rFonts w:ascii="Trebuchet MS" w:hAnsi="Trebuchet MS"/>
          <w:spacing w:val="20"/>
        </w:rPr>
        <w:t xml:space="preserve"> </w:t>
      </w:r>
      <w:r w:rsidRPr="008E582C">
        <w:rPr>
          <w:rFonts w:ascii="Trebuchet MS" w:hAnsi="Trebuchet MS"/>
          <w:spacing w:val="20"/>
        </w:rPr>
        <w:t>as mandated by section 2(2)</w:t>
      </w:r>
      <w:r>
        <w:rPr>
          <w:rFonts w:ascii="Trebuchet MS" w:hAnsi="Trebuchet MS"/>
          <w:spacing w:val="20"/>
        </w:rPr>
        <w:t>, and</w:t>
      </w:r>
    </w:p>
    <w:p w14:paraId="2BDB3512" w14:textId="7D2BE0FA" w:rsidR="00ED5F3F" w:rsidRDefault="00ED5F3F" w:rsidP="00E47BA8">
      <w:pPr>
        <w:pStyle w:val="ListParagraph"/>
        <w:numPr>
          <w:ilvl w:val="0"/>
          <w:numId w:val="17"/>
        </w:numPr>
        <w:spacing w:line="480" w:lineRule="auto"/>
        <w:jc w:val="both"/>
        <w:rPr>
          <w:rFonts w:ascii="Trebuchet MS" w:hAnsi="Trebuchet MS"/>
          <w:spacing w:val="20"/>
        </w:rPr>
      </w:pPr>
      <w:r>
        <w:rPr>
          <w:rFonts w:ascii="Trebuchet MS" w:hAnsi="Trebuchet MS"/>
          <w:spacing w:val="20"/>
        </w:rPr>
        <w:t xml:space="preserve">the </w:t>
      </w:r>
      <w:r w:rsidR="005D2B69">
        <w:rPr>
          <w:rFonts w:ascii="Trebuchet MS" w:hAnsi="Trebuchet MS"/>
          <w:spacing w:val="20"/>
        </w:rPr>
        <w:t xml:space="preserve">time </w:t>
      </w:r>
      <w:r>
        <w:rPr>
          <w:rFonts w:ascii="Trebuchet MS" w:hAnsi="Trebuchet MS"/>
          <w:spacing w:val="20"/>
        </w:rPr>
        <w:t>permitted for amendment of election petition.</w:t>
      </w:r>
    </w:p>
    <w:p w14:paraId="6829B302" w14:textId="77777777" w:rsidR="006A6542" w:rsidRDefault="006A6542" w:rsidP="00E47BA8">
      <w:pPr>
        <w:spacing w:line="480" w:lineRule="auto"/>
        <w:contextualSpacing/>
        <w:jc w:val="both"/>
        <w:rPr>
          <w:rFonts w:ascii="Trebuchet MS" w:hAnsi="Trebuchet MS"/>
          <w:spacing w:val="20"/>
        </w:rPr>
      </w:pPr>
    </w:p>
    <w:p w14:paraId="5B26C3D2" w14:textId="78143425" w:rsidR="006A6542" w:rsidRPr="008E582C" w:rsidRDefault="006A6542" w:rsidP="00E47BA8">
      <w:pPr>
        <w:spacing w:line="480" w:lineRule="auto"/>
        <w:contextualSpacing/>
        <w:jc w:val="both"/>
        <w:rPr>
          <w:rFonts w:ascii="Trebuchet MS" w:hAnsi="Trebuchet MS"/>
          <w:spacing w:val="20"/>
        </w:rPr>
      </w:pPr>
      <w:r>
        <w:rPr>
          <w:rFonts w:ascii="Trebuchet MS" w:hAnsi="Trebuchet MS"/>
          <w:spacing w:val="20"/>
        </w:rPr>
        <w:t xml:space="preserve">It is pertinent to note that the enlargement of time </w:t>
      </w:r>
      <w:r w:rsidR="0061717C">
        <w:rPr>
          <w:rFonts w:ascii="Trebuchet MS" w:hAnsi="Trebuchet MS"/>
          <w:spacing w:val="20"/>
        </w:rPr>
        <w:t xml:space="preserve">can only be </w:t>
      </w:r>
      <w:r w:rsidR="00EA68E6">
        <w:rPr>
          <w:rFonts w:ascii="Trebuchet MS" w:hAnsi="Trebuchet MS"/>
          <w:spacing w:val="20"/>
        </w:rPr>
        <w:t>made</w:t>
      </w:r>
      <w:r w:rsidR="0061717C">
        <w:rPr>
          <w:rFonts w:ascii="Trebuchet MS" w:hAnsi="Trebuchet MS"/>
          <w:spacing w:val="20"/>
        </w:rPr>
        <w:t xml:space="preserve"> </w:t>
      </w:r>
      <w:r>
        <w:rPr>
          <w:rFonts w:ascii="Trebuchet MS" w:hAnsi="Trebuchet MS"/>
          <w:spacing w:val="20"/>
        </w:rPr>
        <w:t xml:space="preserve">by way of </w:t>
      </w:r>
      <w:r w:rsidR="002C23AF">
        <w:rPr>
          <w:rFonts w:ascii="Trebuchet MS" w:hAnsi="Trebuchet MS"/>
          <w:spacing w:val="20"/>
        </w:rPr>
        <w:t xml:space="preserve">motion on notice </w:t>
      </w:r>
      <w:r w:rsidR="0061717C">
        <w:rPr>
          <w:rFonts w:ascii="Trebuchet MS" w:hAnsi="Trebuchet MS"/>
          <w:spacing w:val="20"/>
        </w:rPr>
        <w:t xml:space="preserve">filed and </w:t>
      </w:r>
      <w:r w:rsidR="002C23AF">
        <w:rPr>
          <w:rFonts w:ascii="Trebuchet MS" w:hAnsi="Trebuchet MS"/>
          <w:spacing w:val="20"/>
        </w:rPr>
        <w:t>served on all the parties</w:t>
      </w:r>
      <w:r>
        <w:rPr>
          <w:rFonts w:ascii="Trebuchet MS" w:hAnsi="Trebuchet MS"/>
          <w:spacing w:val="20"/>
        </w:rPr>
        <w:t>.</w:t>
      </w:r>
      <w:r w:rsidR="002C23AF">
        <w:rPr>
          <w:rStyle w:val="FootnoteReference"/>
          <w:rFonts w:ascii="Trebuchet MS" w:hAnsi="Trebuchet MS"/>
          <w:spacing w:val="20"/>
        </w:rPr>
        <w:footnoteReference w:id="53"/>
      </w:r>
      <w:r>
        <w:rPr>
          <w:rFonts w:ascii="Trebuchet MS" w:hAnsi="Trebuchet MS"/>
          <w:spacing w:val="20"/>
        </w:rPr>
        <w:t xml:space="preserve"> </w:t>
      </w:r>
    </w:p>
    <w:p w14:paraId="6C66B3C5" w14:textId="77777777" w:rsidR="000533A5" w:rsidRPr="008E582C" w:rsidRDefault="000533A5" w:rsidP="00E47BA8">
      <w:pPr>
        <w:spacing w:line="480" w:lineRule="auto"/>
        <w:contextualSpacing/>
        <w:jc w:val="both"/>
        <w:rPr>
          <w:rFonts w:ascii="Trebuchet MS" w:hAnsi="Trebuchet MS"/>
          <w:spacing w:val="20"/>
        </w:rPr>
      </w:pPr>
    </w:p>
    <w:p w14:paraId="1C9F3A0E" w14:textId="77777777" w:rsidR="00D12F4B" w:rsidRDefault="00D12F4B" w:rsidP="00E47BA8">
      <w:pPr>
        <w:spacing w:line="480" w:lineRule="auto"/>
        <w:contextualSpacing/>
        <w:jc w:val="center"/>
        <w:rPr>
          <w:rFonts w:ascii="Trebuchet MS" w:hAnsi="Trebuchet MS"/>
          <w:spacing w:val="20"/>
        </w:rPr>
      </w:pPr>
      <w:r>
        <w:rPr>
          <w:rFonts w:ascii="Trebuchet MS" w:hAnsi="Trebuchet MS"/>
          <w:spacing w:val="20"/>
        </w:rPr>
        <w:br w:type="page"/>
      </w:r>
    </w:p>
    <w:p w14:paraId="7D5F131F" w14:textId="7A72AE8C" w:rsidR="00AE27F1" w:rsidRPr="00E47BA8" w:rsidRDefault="008008F3" w:rsidP="00C22964">
      <w:pPr>
        <w:spacing w:line="480" w:lineRule="auto"/>
        <w:contextualSpacing/>
        <w:jc w:val="center"/>
        <w:rPr>
          <w:rFonts w:ascii="Trebuchet MS" w:hAnsi="Trebuchet MS"/>
          <w:smallCaps/>
          <w:spacing w:val="20"/>
        </w:rPr>
      </w:pPr>
      <w:r w:rsidRPr="00E47BA8">
        <w:rPr>
          <w:rFonts w:ascii="Trebuchet MS" w:hAnsi="Trebuchet MS"/>
          <w:smallCaps/>
          <w:spacing w:val="20"/>
        </w:rPr>
        <w:t>Part IV</w:t>
      </w:r>
    </w:p>
    <w:p w14:paraId="09BB6FFD" w14:textId="3B189450" w:rsidR="008008F3" w:rsidRPr="00E47BA8" w:rsidRDefault="00DC30D1" w:rsidP="00C22964">
      <w:pPr>
        <w:spacing w:line="480" w:lineRule="auto"/>
        <w:contextualSpacing/>
        <w:jc w:val="center"/>
        <w:rPr>
          <w:rFonts w:ascii="Trebuchet MS" w:hAnsi="Trebuchet MS"/>
          <w:smallCaps/>
          <w:spacing w:val="20"/>
        </w:rPr>
      </w:pPr>
      <w:r w:rsidRPr="00E47BA8">
        <w:rPr>
          <w:rFonts w:ascii="Trebuchet MS" w:hAnsi="Trebuchet MS"/>
          <w:smallCaps/>
          <w:spacing w:val="20"/>
        </w:rPr>
        <w:t>Primary</w:t>
      </w:r>
      <w:r w:rsidR="00AA5D15" w:rsidRPr="00E47BA8">
        <w:rPr>
          <w:rFonts w:ascii="Trebuchet MS" w:hAnsi="Trebuchet MS"/>
          <w:smallCaps/>
          <w:spacing w:val="20"/>
        </w:rPr>
        <w:t xml:space="preserve"> and General</w:t>
      </w:r>
      <w:r w:rsidRPr="00E47BA8">
        <w:rPr>
          <w:rFonts w:ascii="Trebuchet MS" w:hAnsi="Trebuchet MS"/>
          <w:smallCaps/>
          <w:spacing w:val="20"/>
        </w:rPr>
        <w:t xml:space="preserve"> Election Dispute</w:t>
      </w:r>
      <w:r w:rsidR="00AA5D15" w:rsidRPr="00E47BA8">
        <w:rPr>
          <w:rFonts w:ascii="Trebuchet MS" w:hAnsi="Trebuchet MS"/>
          <w:smallCaps/>
          <w:spacing w:val="20"/>
        </w:rPr>
        <w:t>s</w:t>
      </w:r>
      <w:r w:rsidR="00FD52F0" w:rsidRPr="00E47BA8">
        <w:rPr>
          <w:rFonts w:ascii="Trebuchet MS" w:hAnsi="Trebuchet MS"/>
          <w:smallCaps/>
          <w:spacing w:val="20"/>
        </w:rPr>
        <w:t xml:space="preserve"> Resolution</w:t>
      </w:r>
    </w:p>
    <w:p w14:paraId="36125259" w14:textId="6725A9E2" w:rsidR="007D3286" w:rsidRDefault="006E6806" w:rsidP="00E47BA8">
      <w:pPr>
        <w:spacing w:line="480" w:lineRule="auto"/>
        <w:contextualSpacing/>
        <w:jc w:val="both"/>
        <w:rPr>
          <w:rFonts w:ascii="Trebuchet MS" w:hAnsi="Trebuchet MS"/>
          <w:spacing w:val="20"/>
        </w:rPr>
      </w:pPr>
      <w:r>
        <w:rPr>
          <w:rFonts w:ascii="Trebuchet MS" w:hAnsi="Trebuchet MS"/>
          <w:spacing w:val="20"/>
        </w:rPr>
        <w:t>As indicated earlier, t</w:t>
      </w:r>
      <w:r w:rsidR="00D12F4B">
        <w:rPr>
          <w:rFonts w:ascii="Trebuchet MS" w:hAnsi="Trebuchet MS"/>
          <w:spacing w:val="20"/>
        </w:rPr>
        <w:t>here are two types of election dispute that</w:t>
      </w:r>
      <w:r w:rsidR="00475F11">
        <w:rPr>
          <w:rFonts w:ascii="Trebuchet MS" w:hAnsi="Trebuchet MS"/>
          <w:spacing w:val="20"/>
        </w:rPr>
        <w:t xml:space="preserve"> usually</w:t>
      </w:r>
      <w:r w:rsidR="00D12F4B">
        <w:rPr>
          <w:rFonts w:ascii="Trebuchet MS" w:hAnsi="Trebuchet MS"/>
          <w:spacing w:val="20"/>
        </w:rPr>
        <w:t xml:space="preserve"> arise</w:t>
      </w:r>
      <w:r w:rsidR="00475F11">
        <w:rPr>
          <w:rFonts w:ascii="Trebuchet MS" w:hAnsi="Trebuchet MS"/>
          <w:spacing w:val="20"/>
        </w:rPr>
        <w:t>s</w:t>
      </w:r>
      <w:r w:rsidR="00D12F4B">
        <w:rPr>
          <w:rFonts w:ascii="Trebuchet MS" w:hAnsi="Trebuchet MS"/>
          <w:spacing w:val="20"/>
        </w:rPr>
        <w:t xml:space="preserve"> in Nigeria</w:t>
      </w:r>
      <w:r w:rsidR="00237EA5">
        <w:rPr>
          <w:rFonts w:ascii="Trebuchet MS" w:hAnsi="Trebuchet MS"/>
          <w:spacing w:val="20"/>
        </w:rPr>
        <w:t xml:space="preserve">. The first is the election </w:t>
      </w:r>
      <w:r w:rsidR="00E33B79">
        <w:rPr>
          <w:rFonts w:ascii="Trebuchet MS" w:hAnsi="Trebuchet MS"/>
          <w:spacing w:val="20"/>
        </w:rPr>
        <w:t>dispute</w:t>
      </w:r>
      <w:r w:rsidR="00F73C9E">
        <w:rPr>
          <w:rFonts w:ascii="Trebuchet MS" w:hAnsi="Trebuchet MS"/>
          <w:spacing w:val="20"/>
        </w:rPr>
        <w:t>s</w:t>
      </w:r>
      <w:r w:rsidR="00E33B79">
        <w:rPr>
          <w:rFonts w:ascii="Trebuchet MS" w:hAnsi="Trebuchet MS"/>
          <w:spacing w:val="20"/>
        </w:rPr>
        <w:t xml:space="preserve"> of party primaries</w:t>
      </w:r>
      <w:r w:rsidR="00237EA5">
        <w:rPr>
          <w:rFonts w:ascii="Trebuchet MS" w:hAnsi="Trebuchet MS"/>
          <w:spacing w:val="20"/>
        </w:rPr>
        <w:t xml:space="preserve"> that occur </w:t>
      </w:r>
      <w:r w:rsidR="00754A46">
        <w:rPr>
          <w:rFonts w:ascii="Trebuchet MS" w:hAnsi="Trebuchet MS"/>
          <w:spacing w:val="20"/>
        </w:rPr>
        <w:t>in</w:t>
      </w:r>
      <w:r w:rsidR="00237EA5">
        <w:rPr>
          <w:rFonts w:ascii="Trebuchet MS" w:hAnsi="Trebuchet MS"/>
          <w:spacing w:val="20"/>
        </w:rPr>
        <w:t xml:space="preserve"> </w:t>
      </w:r>
      <w:r w:rsidR="00754A46">
        <w:rPr>
          <w:rFonts w:ascii="Trebuchet MS" w:hAnsi="Trebuchet MS"/>
          <w:spacing w:val="20"/>
        </w:rPr>
        <w:t xml:space="preserve">various </w:t>
      </w:r>
      <w:r w:rsidR="00237EA5">
        <w:rPr>
          <w:rFonts w:ascii="Trebuchet MS" w:hAnsi="Trebuchet MS"/>
          <w:spacing w:val="20"/>
        </w:rPr>
        <w:t xml:space="preserve">political parties while in the process of choosing or deciding whom they will sponsor for any elective position. The second is the </w:t>
      </w:r>
      <w:r w:rsidR="00754A46">
        <w:rPr>
          <w:rFonts w:ascii="Trebuchet MS" w:hAnsi="Trebuchet MS"/>
          <w:spacing w:val="20"/>
        </w:rPr>
        <w:t>election dispute</w:t>
      </w:r>
      <w:r w:rsidR="00F73C9E">
        <w:rPr>
          <w:rFonts w:ascii="Trebuchet MS" w:hAnsi="Trebuchet MS"/>
          <w:spacing w:val="20"/>
        </w:rPr>
        <w:t>s</w:t>
      </w:r>
      <w:r w:rsidR="00754A46">
        <w:rPr>
          <w:rFonts w:ascii="Trebuchet MS" w:hAnsi="Trebuchet MS"/>
          <w:spacing w:val="20"/>
        </w:rPr>
        <w:t xml:space="preserve"> that occur in </w:t>
      </w:r>
      <w:r w:rsidR="00237EA5">
        <w:rPr>
          <w:rFonts w:ascii="Trebuchet MS" w:hAnsi="Trebuchet MS"/>
          <w:spacing w:val="20"/>
        </w:rPr>
        <w:t>general election</w:t>
      </w:r>
      <w:r w:rsidR="00754A46">
        <w:rPr>
          <w:rFonts w:ascii="Trebuchet MS" w:hAnsi="Trebuchet MS"/>
          <w:spacing w:val="20"/>
        </w:rPr>
        <w:t xml:space="preserve"> conducted by the Independent National</w:t>
      </w:r>
      <w:r w:rsidR="008E5178">
        <w:rPr>
          <w:rFonts w:ascii="Trebuchet MS" w:hAnsi="Trebuchet MS"/>
          <w:spacing w:val="20"/>
        </w:rPr>
        <w:t xml:space="preserve"> Electoral Commission (INEC) or</w:t>
      </w:r>
      <w:r w:rsidR="00754A46">
        <w:rPr>
          <w:rFonts w:ascii="Trebuchet MS" w:hAnsi="Trebuchet MS"/>
          <w:spacing w:val="20"/>
        </w:rPr>
        <w:t xml:space="preserve"> the </w:t>
      </w:r>
      <w:r w:rsidR="00F73C9E">
        <w:rPr>
          <w:rFonts w:ascii="Trebuchet MS" w:hAnsi="Trebuchet MS"/>
          <w:spacing w:val="20"/>
        </w:rPr>
        <w:t xml:space="preserve">Independent </w:t>
      </w:r>
      <w:r w:rsidR="00754A46">
        <w:rPr>
          <w:rFonts w:ascii="Trebuchet MS" w:hAnsi="Trebuchet MS"/>
          <w:spacing w:val="20"/>
        </w:rPr>
        <w:t>Electoral Commission of different States for fil</w:t>
      </w:r>
      <w:r w:rsidR="00F73C9E">
        <w:rPr>
          <w:rFonts w:ascii="Trebuchet MS" w:hAnsi="Trebuchet MS"/>
          <w:spacing w:val="20"/>
        </w:rPr>
        <w:t>l</w:t>
      </w:r>
      <w:r w:rsidR="00754A46">
        <w:rPr>
          <w:rFonts w:ascii="Trebuchet MS" w:hAnsi="Trebuchet MS"/>
          <w:spacing w:val="20"/>
        </w:rPr>
        <w:t xml:space="preserve">ing </w:t>
      </w:r>
      <w:r w:rsidR="002E44B3">
        <w:rPr>
          <w:rFonts w:ascii="Trebuchet MS" w:hAnsi="Trebuchet MS"/>
          <w:spacing w:val="20"/>
        </w:rPr>
        <w:t>the various</w:t>
      </w:r>
      <w:r w:rsidR="00754A46">
        <w:rPr>
          <w:rFonts w:ascii="Trebuchet MS" w:hAnsi="Trebuchet MS"/>
          <w:spacing w:val="20"/>
        </w:rPr>
        <w:t xml:space="preserve"> </w:t>
      </w:r>
      <w:r w:rsidR="002E44B3">
        <w:rPr>
          <w:rFonts w:ascii="Trebuchet MS" w:hAnsi="Trebuchet MS"/>
          <w:spacing w:val="20"/>
        </w:rPr>
        <w:t>political offices</w:t>
      </w:r>
      <w:r w:rsidR="00754A46">
        <w:rPr>
          <w:rFonts w:ascii="Trebuchet MS" w:hAnsi="Trebuchet MS"/>
          <w:spacing w:val="20"/>
        </w:rPr>
        <w:t xml:space="preserve"> recognized</w:t>
      </w:r>
      <w:r w:rsidR="00F73C9E">
        <w:rPr>
          <w:rFonts w:ascii="Trebuchet MS" w:hAnsi="Trebuchet MS"/>
          <w:spacing w:val="20"/>
        </w:rPr>
        <w:t xml:space="preserve"> by the 1999 Constitution of the Federal Republic of Nigeria.</w:t>
      </w:r>
      <w:r w:rsidR="00237EA5">
        <w:rPr>
          <w:rFonts w:ascii="Trebuchet MS" w:hAnsi="Trebuchet MS"/>
          <w:spacing w:val="20"/>
        </w:rPr>
        <w:t xml:space="preserve"> </w:t>
      </w:r>
      <w:r w:rsidR="00670872">
        <w:rPr>
          <w:rFonts w:ascii="Trebuchet MS" w:hAnsi="Trebuchet MS"/>
          <w:spacing w:val="20"/>
        </w:rPr>
        <w:t>We shall hereinafter consider the two types of disputes.</w:t>
      </w:r>
    </w:p>
    <w:p w14:paraId="260C9FCF" w14:textId="77777777" w:rsidR="00AA5D15" w:rsidRDefault="00AA5D15" w:rsidP="00E47BA8">
      <w:pPr>
        <w:spacing w:line="480" w:lineRule="auto"/>
        <w:contextualSpacing/>
        <w:jc w:val="both"/>
        <w:rPr>
          <w:rFonts w:ascii="Trebuchet MS" w:hAnsi="Trebuchet MS"/>
          <w:spacing w:val="20"/>
        </w:rPr>
      </w:pPr>
    </w:p>
    <w:p w14:paraId="4D5BA017" w14:textId="38FEA338" w:rsidR="00AA5D15" w:rsidRPr="00C22964" w:rsidRDefault="00AA5D15" w:rsidP="00E47BA8">
      <w:pPr>
        <w:spacing w:line="480" w:lineRule="auto"/>
        <w:contextualSpacing/>
        <w:jc w:val="both"/>
        <w:rPr>
          <w:rFonts w:ascii="Trebuchet MS" w:hAnsi="Trebuchet MS"/>
          <w:b/>
          <w:spacing w:val="20"/>
        </w:rPr>
      </w:pPr>
      <w:r w:rsidRPr="00C22964">
        <w:rPr>
          <w:rFonts w:ascii="Trebuchet MS" w:hAnsi="Trebuchet MS"/>
          <w:b/>
          <w:spacing w:val="20"/>
        </w:rPr>
        <w:t>Primary Election Dispute</w:t>
      </w:r>
      <w:r w:rsidR="00FD52F0" w:rsidRPr="00C22964">
        <w:rPr>
          <w:rFonts w:ascii="Trebuchet MS" w:hAnsi="Trebuchet MS"/>
          <w:b/>
          <w:spacing w:val="20"/>
        </w:rPr>
        <w:t xml:space="preserve"> Resolution</w:t>
      </w:r>
    </w:p>
    <w:p w14:paraId="6C212364" w14:textId="51139CE3" w:rsidR="00D425ED" w:rsidRDefault="00DD776D" w:rsidP="00E47BA8">
      <w:pPr>
        <w:spacing w:line="480" w:lineRule="auto"/>
        <w:contextualSpacing/>
        <w:jc w:val="both"/>
        <w:rPr>
          <w:rFonts w:ascii="Trebuchet MS" w:hAnsi="Trebuchet MS"/>
          <w:spacing w:val="20"/>
        </w:rPr>
      </w:pPr>
      <w:r>
        <w:rPr>
          <w:rFonts w:ascii="Trebuchet MS" w:hAnsi="Trebuchet MS"/>
          <w:spacing w:val="20"/>
        </w:rPr>
        <w:t>Generally, courts tread</w:t>
      </w:r>
      <w:r w:rsidR="00D30156">
        <w:rPr>
          <w:rFonts w:ascii="Trebuchet MS" w:hAnsi="Trebuchet MS"/>
          <w:spacing w:val="20"/>
        </w:rPr>
        <w:t xml:space="preserve"> with great caution in internal feuds and other intra-party disputes of political parties. The commonest area, which is the most significant, is in the choice of candidates to contest elections for any political party. It is taken to be within the inviolable domain of political parties to choose or decide whom they will sponsor for any elective position and accordingly the courts</w:t>
      </w:r>
      <w:r w:rsidR="005E2C73">
        <w:rPr>
          <w:rFonts w:ascii="Trebuchet MS" w:hAnsi="Trebuchet MS"/>
          <w:spacing w:val="20"/>
        </w:rPr>
        <w:t xml:space="preserve"> should not exercise jurisdiction, same being non-justiciable.</w:t>
      </w:r>
      <w:r w:rsidR="00E66BBC">
        <w:rPr>
          <w:rStyle w:val="FootnoteReference"/>
          <w:rFonts w:ascii="Trebuchet MS" w:hAnsi="Trebuchet MS"/>
          <w:spacing w:val="20"/>
        </w:rPr>
        <w:footnoteReference w:id="54"/>
      </w:r>
      <w:r w:rsidR="00C73F6B">
        <w:rPr>
          <w:rFonts w:ascii="Trebuchet MS" w:hAnsi="Trebuchet MS"/>
          <w:spacing w:val="20"/>
        </w:rPr>
        <w:t xml:space="preserve"> </w:t>
      </w:r>
      <w:r w:rsidR="00475F11">
        <w:rPr>
          <w:rFonts w:ascii="Trebuchet MS" w:hAnsi="Trebuchet MS"/>
          <w:spacing w:val="20"/>
        </w:rPr>
        <w:t xml:space="preserve"> The locus classicus being the</w:t>
      </w:r>
      <w:r w:rsidR="003F40E0">
        <w:rPr>
          <w:rFonts w:ascii="Trebuchet MS" w:hAnsi="Trebuchet MS"/>
          <w:spacing w:val="20"/>
        </w:rPr>
        <w:t xml:space="preserve"> case of </w:t>
      </w:r>
      <w:r w:rsidR="003F40E0" w:rsidRPr="008E582C">
        <w:rPr>
          <w:rFonts w:ascii="Trebuchet MS" w:hAnsi="Trebuchet MS"/>
          <w:b/>
          <w:i/>
          <w:spacing w:val="20"/>
        </w:rPr>
        <w:t>Onuoha v. Okafor</w:t>
      </w:r>
      <w:r w:rsidR="00DF739A">
        <w:rPr>
          <w:rStyle w:val="FootnoteReference"/>
          <w:rFonts w:ascii="Trebuchet MS" w:hAnsi="Trebuchet MS"/>
          <w:spacing w:val="20"/>
        </w:rPr>
        <w:t>.</w:t>
      </w:r>
      <w:r w:rsidR="003F40E0">
        <w:rPr>
          <w:rStyle w:val="FootnoteReference"/>
          <w:rFonts w:ascii="Trebuchet MS" w:hAnsi="Trebuchet MS"/>
          <w:spacing w:val="20"/>
        </w:rPr>
        <w:footnoteReference w:id="55"/>
      </w:r>
      <w:r w:rsidR="003F40E0">
        <w:rPr>
          <w:rFonts w:ascii="Trebuchet MS" w:hAnsi="Trebuchet MS"/>
          <w:spacing w:val="20"/>
        </w:rPr>
        <w:t xml:space="preserve"> </w:t>
      </w:r>
      <w:r w:rsidR="00475F11">
        <w:rPr>
          <w:rFonts w:ascii="Trebuchet MS" w:hAnsi="Trebuchet MS"/>
          <w:spacing w:val="20"/>
        </w:rPr>
        <w:t xml:space="preserve"> In that case, t</w:t>
      </w:r>
      <w:r w:rsidR="00FE643A">
        <w:rPr>
          <w:rFonts w:ascii="Trebuchet MS" w:hAnsi="Trebuchet MS"/>
          <w:spacing w:val="20"/>
        </w:rPr>
        <w:t>he plaintiff filed an action before the High Court of Imo State, Owerri and by his writ of summons, the plaintiff prayed the Court for the following reliefs:</w:t>
      </w:r>
    </w:p>
    <w:p w14:paraId="3ABC967E" w14:textId="6ADEB481" w:rsidR="00D425ED" w:rsidRPr="00D425ED" w:rsidRDefault="00D425ED" w:rsidP="00C22964">
      <w:pPr>
        <w:pStyle w:val="ListParagraph"/>
        <w:numPr>
          <w:ilvl w:val="0"/>
          <w:numId w:val="5"/>
        </w:numPr>
        <w:spacing w:line="480" w:lineRule="auto"/>
        <w:jc w:val="both"/>
        <w:rPr>
          <w:rFonts w:ascii="Trebuchet MS" w:hAnsi="Trebuchet MS"/>
          <w:spacing w:val="20"/>
        </w:rPr>
      </w:pPr>
      <w:r w:rsidRPr="00D425ED">
        <w:rPr>
          <w:rFonts w:ascii="Trebuchet MS" w:hAnsi="Trebuchet MS"/>
          <w:i/>
          <w:spacing w:val="20"/>
        </w:rPr>
        <w:t>A declaration that the decision of the Nigerian Peoples’ Party Nomination Elections Petition panel on Tuesday 19th April, 1983 nullifying the nomination election for the Owerri Senatorial Nigerian Peoples’ Party candidature of 21st March, 1983 is null and void being contrary to natural justice, equity and good conscience.</w:t>
      </w:r>
    </w:p>
    <w:p w14:paraId="4CC2DDBF" w14:textId="77777777" w:rsidR="00D425ED" w:rsidRPr="00D425ED" w:rsidRDefault="00D425ED" w:rsidP="00C22964">
      <w:pPr>
        <w:pStyle w:val="ListParagraph"/>
        <w:numPr>
          <w:ilvl w:val="0"/>
          <w:numId w:val="5"/>
        </w:numPr>
        <w:spacing w:line="480" w:lineRule="auto"/>
        <w:jc w:val="both"/>
        <w:rPr>
          <w:rFonts w:ascii="Trebuchet MS" w:hAnsi="Trebuchet MS"/>
          <w:spacing w:val="20"/>
        </w:rPr>
      </w:pPr>
      <w:r w:rsidRPr="00D425ED">
        <w:rPr>
          <w:rFonts w:ascii="Trebuchet MS" w:hAnsi="Trebuchet MS"/>
          <w:i/>
          <w:spacing w:val="20"/>
        </w:rPr>
        <w:t>A declaration that the nomination election results announced by the presiding officer for the nomination election for Owerri Senatorial District N.P.P. candidature on March, 21 1983 is valid and subsisting as being in accordance with the guidelines for the said election.</w:t>
      </w:r>
    </w:p>
    <w:p w14:paraId="408F8D8B" w14:textId="6AC1B6C2" w:rsidR="00D425ED" w:rsidRPr="00D425ED" w:rsidRDefault="00D425ED" w:rsidP="00C22964">
      <w:pPr>
        <w:pStyle w:val="ListParagraph"/>
        <w:numPr>
          <w:ilvl w:val="0"/>
          <w:numId w:val="5"/>
        </w:numPr>
        <w:spacing w:line="480" w:lineRule="auto"/>
        <w:jc w:val="both"/>
        <w:rPr>
          <w:rFonts w:ascii="Trebuchet MS" w:hAnsi="Trebuchet MS"/>
          <w:spacing w:val="20"/>
        </w:rPr>
      </w:pPr>
      <w:r w:rsidRPr="00D425ED">
        <w:rPr>
          <w:rFonts w:ascii="Trebuchet MS" w:hAnsi="Trebuchet MS"/>
          <w:i/>
          <w:spacing w:val="20"/>
        </w:rPr>
        <w:t>An injunction restraining the Nigerian Peoples’ Party from submitting the name of Hon. Isidore Obasi or any name other than that of Hon. P.C. Onuoha to the Federal Electoral Commission as the N.P.P. candidate for Owerri Senatorial District seat in the 1983 general elections.”</w:t>
      </w:r>
    </w:p>
    <w:p w14:paraId="2C80727F" w14:textId="77777777" w:rsidR="00670872" w:rsidRDefault="00670872" w:rsidP="00E47BA8">
      <w:pPr>
        <w:spacing w:line="480" w:lineRule="auto"/>
        <w:contextualSpacing/>
        <w:jc w:val="both"/>
        <w:rPr>
          <w:rFonts w:ascii="Trebuchet MS" w:hAnsi="Trebuchet MS"/>
          <w:spacing w:val="20"/>
        </w:rPr>
      </w:pPr>
    </w:p>
    <w:p w14:paraId="56B52AEE" w14:textId="2AE96676" w:rsidR="00670872" w:rsidRDefault="00D425ED" w:rsidP="00E47BA8">
      <w:pPr>
        <w:spacing w:line="480" w:lineRule="auto"/>
        <w:contextualSpacing/>
        <w:jc w:val="both"/>
        <w:rPr>
          <w:rFonts w:ascii="Trebuchet MS" w:hAnsi="Trebuchet MS"/>
          <w:spacing w:val="20"/>
        </w:rPr>
      </w:pPr>
      <w:r>
        <w:rPr>
          <w:rFonts w:ascii="Trebuchet MS" w:hAnsi="Trebuchet MS"/>
          <w:spacing w:val="20"/>
        </w:rPr>
        <w:t>At the conclusion of evidence and counsel’s addre</w:t>
      </w:r>
      <w:r w:rsidR="003D3737">
        <w:rPr>
          <w:rFonts w:ascii="Trebuchet MS" w:hAnsi="Trebuchet MS"/>
          <w:spacing w:val="20"/>
        </w:rPr>
        <w:t xml:space="preserve">ss, </w:t>
      </w:r>
      <w:r>
        <w:rPr>
          <w:rFonts w:ascii="Trebuchet MS" w:hAnsi="Trebuchet MS"/>
          <w:spacing w:val="20"/>
        </w:rPr>
        <w:t>the Learned Trial</w:t>
      </w:r>
      <w:r w:rsidR="003D3737">
        <w:rPr>
          <w:rFonts w:ascii="Trebuchet MS" w:hAnsi="Trebuchet MS"/>
          <w:spacing w:val="20"/>
        </w:rPr>
        <w:t xml:space="preserve"> Chief Judge, Oputa, C.J. delivered his judgment and granted the reliefs of the Plaintiff. Being dissatisfied with the decision, the Defendants appealed to the Court of Appeal. The Court of Appeal in its judgment allowed the appeal and held that it is the responsibility of each political party to sponsor candidates for election. Being dissatisfied with the decision of the Court of Appeal, the Plaintiff appealed to the Supreme Court. While dismissing the Plaintiff’s appeal on the ground that the dispute </w:t>
      </w:r>
      <w:r w:rsidR="004823A3">
        <w:rPr>
          <w:rFonts w:ascii="Trebuchet MS" w:hAnsi="Trebuchet MS"/>
          <w:spacing w:val="20"/>
        </w:rPr>
        <w:t xml:space="preserve">of </w:t>
      </w:r>
      <w:r w:rsidR="003D3737">
        <w:rPr>
          <w:rFonts w:ascii="Trebuchet MS" w:hAnsi="Trebuchet MS"/>
          <w:spacing w:val="20"/>
        </w:rPr>
        <w:t>sponsorship</w:t>
      </w:r>
      <w:r w:rsidR="004823A3">
        <w:rPr>
          <w:rFonts w:ascii="Trebuchet MS" w:hAnsi="Trebuchet MS"/>
          <w:spacing w:val="20"/>
        </w:rPr>
        <w:t xml:space="preserve"> of candidates before the Court</w:t>
      </w:r>
      <w:r w:rsidR="003D3737">
        <w:rPr>
          <w:rFonts w:ascii="Trebuchet MS" w:hAnsi="Trebuchet MS"/>
          <w:spacing w:val="20"/>
        </w:rPr>
        <w:t xml:space="preserve"> is no</w:t>
      </w:r>
      <w:r w:rsidR="00475F11">
        <w:rPr>
          <w:rFonts w:ascii="Trebuchet MS" w:hAnsi="Trebuchet MS"/>
          <w:spacing w:val="20"/>
        </w:rPr>
        <w:t>t</w:t>
      </w:r>
      <w:r w:rsidR="004823A3">
        <w:rPr>
          <w:rFonts w:ascii="Trebuchet MS" w:hAnsi="Trebuchet MS"/>
          <w:spacing w:val="20"/>
        </w:rPr>
        <w:t xml:space="preserve"> justiciable</w:t>
      </w:r>
      <w:r w:rsidR="003D3737">
        <w:rPr>
          <w:rFonts w:ascii="Trebuchet MS" w:hAnsi="Trebuchet MS"/>
          <w:spacing w:val="20"/>
        </w:rPr>
        <w:t xml:space="preserve">, </w:t>
      </w:r>
      <w:r w:rsidR="004823A3">
        <w:rPr>
          <w:rFonts w:ascii="Trebuchet MS" w:hAnsi="Trebuchet MS"/>
          <w:spacing w:val="20"/>
        </w:rPr>
        <w:t>Obaseki, JSC held thus:</w:t>
      </w:r>
    </w:p>
    <w:p w14:paraId="3412C22A" w14:textId="77777777" w:rsidR="00472168" w:rsidRPr="00472168" w:rsidRDefault="00472168" w:rsidP="00C22964">
      <w:pPr>
        <w:spacing w:line="480" w:lineRule="auto"/>
        <w:ind w:left="1440"/>
        <w:contextualSpacing/>
        <w:jc w:val="both"/>
        <w:rPr>
          <w:rFonts w:ascii="Trebuchet MS" w:hAnsi="Trebuchet MS"/>
          <w:i/>
          <w:spacing w:val="20"/>
          <w:lang w:val="en-GB"/>
        </w:rPr>
      </w:pPr>
      <w:r w:rsidRPr="00472168">
        <w:rPr>
          <w:rFonts w:ascii="Trebuchet MS" w:hAnsi="Trebuchet MS"/>
          <w:i/>
          <w:spacing w:val="20"/>
          <w:lang w:val="en-GB"/>
        </w:rPr>
        <w:t>“The law is therefore certain as to who is to resolve the dispute where two candidates claim sponsorship. It is the Federal Electoral Commission by consulting with the leader of the political party concerned. In other words, the Federal Electoral Commission is required to act on the advice of the leader of the political party concerned. The real power to make a choice is, in my view, in the political party through its leader.</w:t>
      </w:r>
    </w:p>
    <w:p w14:paraId="4EAF9A73" w14:textId="33EB8099" w:rsidR="00472168" w:rsidRPr="00472168" w:rsidRDefault="00472168" w:rsidP="00E47BA8">
      <w:pPr>
        <w:spacing w:line="480" w:lineRule="auto"/>
        <w:ind w:left="1440" w:firstLine="720"/>
        <w:contextualSpacing/>
        <w:jc w:val="both"/>
        <w:rPr>
          <w:rFonts w:ascii="Trebuchet MS" w:hAnsi="Trebuchet MS"/>
          <w:i/>
          <w:spacing w:val="20"/>
          <w:lang w:val="en-GB"/>
        </w:rPr>
      </w:pPr>
      <w:r w:rsidRPr="00472168">
        <w:rPr>
          <w:rFonts w:ascii="Trebuchet MS" w:hAnsi="Trebuchet MS"/>
          <w:i/>
          <w:spacing w:val="20"/>
          <w:lang w:val="en-GB"/>
        </w:rPr>
        <w:t>That being the state of the law, the real question must be whether, the matter in dispute now before this court on appeal is justiciable. It is clear to me that the expressed intention of the Constitution of the Federal Republic 1979 and the Electoral Act 1982 is to give a political party, in the instant appeal the N.P.P. (Nigerian Peoples’ Party), the right freely to choose the candidate it will sponsor for election to any elective office or seat in the legislature and in this instant appeal a seat in the House of Senate of the National Assembly. The exercise of this right is the domestic affair of the N.P.P. guided by its constitution. There are no judicial criteria or yardstick to determine which candidate a political party ought to choose and the judiciary is therefore unable to exercise any judicial power in the matter. It is a matter over which it has no jurisdiction. The question of the candidate a political party will sponsor is more in the</w:t>
      </w:r>
      <w:r w:rsidR="00B57543">
        <w:rPr>
          <w:rFonts w:ascii="Trebuchet MS" w:hAnsi="Trebuchet MS"/>
          <w:i/>
          <w:spacing w:val="20"/>
          <w:lang w:val="en-GB"/>
        </w:rPr>
        <w:t xml:space="preserve"> nature of a political question </w:t>
      </w:r>
      <w:r w:rsidRPr="00472168">
        <w:rPr>
          <w:rFonts w:ascii="Trebuchet MS" w:hAnsi="Trebuchet MS"/>
          <w:i/>
          <w:spacing w:val="20"/>
          <w:lang w:val="en-GB"/>
        </w:rPr>
        <w:t>which the courts are not qualified to deliberate upon and answer. The judiciary has been relieved of the task of answering the question by the Electoral Act when it gave the power to the leader of the political party to answer the question.</w:t>
      </w:r>
    </w:p>
    <w:p w14:paraId="47204DD3" w14:textId="6C86FAB9" w:rsidR="00472168" w:rsidRDefault="00472168" w:rsidP="00E47BA8">
      <w:pPr>
        <w:spacing w:line="480" w:lineRule="auto"/>
        <w:ind w:left="1440" w:firstLine="720"/>
        <w:contextualSpacing/>
        <w:jc w:val="both"/>
        <w:rPr>
          <w:rFonts w:ascii="Trebuchet MS" w:hAnsi="Trebuchet MS"/>
          <w:spacing w:val="20"/>
        </w:rPr>
      </w:pPr>
      <w:r w:rsidRPr="00472168">
        <w:rPr>
          <w:rFonts w:ascii="Trebuchet MS" w:hAnsi="Trebuchet MS"/>
          <w:i/>
          <w:spacing w:val="20"/>
          <w:lang w:val="en-GB"/>
        </w:rPr>
        <w:t>It is therefore my view that the matter in dispute brought before the Court is not justiciable.”</w:t>
      </w:r>
      <w:r w:rsidR="007224BC">
        <w:rPr>
          <w:rStyle w:val="FootnoteReference"/>
          <w:rFonts w:ascii="Trebuchet MS" w:hAnsi="Trebuchet MS"/>
          <w:i/>
          <w:spacing w:val="20"/>
          <w:lang w:val="en-GB"/>
        </w:rPr>
        <w:footnoteReference w:id="56"/>
      </w:r>
    </w:p>
    <w:p w14:paraId="0D82B204" w14:textId="77777777" w:rsidR="00B57543" w:rsidRDefault="005D3E28" w:rsidP="00E47BA8">
      <w:pPr>
        <w:spacing w:line="480" w:lineRule="auto"/>
        <w:contextualSpacing/>
        <w:jc w:val="both"/>
        <w:rPr>
          <w:rFonts w:ascii="Trebuchet MS" w:hAnsi="Trebuchet MS"/>
          <w:spacing w:val="20"/>
        </w:rPr>
      </w:pPr>
      <w:r>
        <w:rPr>
          <w:rFonts w:ascii="Trebuchet MS" w:hAnsi="Trebuchet MS"/>
          <w:spacing w:val="20"/>
        </w:rPr>
        <w:t xml:space="preserve"> </w:t>
      </w:r>
    </w:p>
    <w:p w14:paraId="3BB2F123" w14:textId="06364118" w:rsidR="000529A9" w:rsidRDefault="00B57543" w:rsidP="00E47BA8">
      <w:pPr>
        <w:spacing w:line="480" w:lineRule="auto"/>
        <w:contextualSpacing/>
        <w:jc w:val="both"/>
        <w:rPr>
          <w:rFonts w:ascii="Trebuchet MS" w:hAnsi="Trebuchet MS"/>
          <w:spacing w:val="20"/>
        </w:rPr>
      </w:pPr>
      <w:r>
        <w:rPr>
          <w:rFonts w:ascii="Trebuchet MS" w:hAnsi="Trebuchet MS"/>
          <w:spacing w:val="20"/>
        </w:rPr>
        <w:t xml:space="preserve">Since the decision of the Supreme Court in the above case of Onuoha v. Okafor, the Courts have persistently followed this position to the effect that a court of law has no jurisdiction to adjudicate on the issue of which candidate a political party should nominate or sponsor for an election. The case of </w:t>
      </w:r>
      <w:r w:rsidRPr="008E582C">
        <w:rPr>
          <w:rFonts w:ascii="Trebuchet MS" w:hAnsi="Trebuchet MS"/>
          <w:b/>
          <w:i/>
          <w:spacing w:val="20"/>
        </w:rPr>
        <w:t>Dalhatu v. Turaki &amp; 5 Ors.</w:t>
      </w:r>
      <w:r w:rsidR="006D671E">
        <w:rPr>
          <w:rStyle w:val="FootnoteReference"/>
          <w:rFonts w:ascii="Trebuchet MS" w:hAnsi="Trebuchet MS"/>
          <w:spacing w:val="20"/>
        </w:rPr>
        <w:footnoteReference w:id="57"/>
      </w:r>
      <w:r>
        <w:rPr>
          <w:rFonts w:ascii="Trebuchet MS" w:hAnsi="Trebuchet MS"/>
          <w:spacing w:val="20"/>
        </w:rPr>
        <w:t xml:space="preserve"> was no exception.</w:t>
      </w:r>
      <w:r w:rsidR="00302AA6">
        <w:rPr>
          <w:rFonts w:ascii="Trebuchet MS" w:hAnsi="Trebuchet MS"/>
          <w:spacing w:val="20"/>
        </w:rPr>
        <w:t xml:space="preserve"> </w:t>
      </w:r>
      <w:r w:rsidR="00FD7936">
        <w:rPr>
          <w:rFonts w:ascii="Trebuchet MS" w:hAnsi="Trebuchet MS"/>
          <w:spacing w:val="20"/>
        </w:rPr>
        <w:t>T</w:t>
      </w:r>
      <w:r w:rsidR="00186DAA">
        <w:rPr>
          <w:rFonts w:ascii="Trebuchet MS" w:hAnsi="Trebuchet MS"/>
          <w:spacing w:val="20"/>
        </w:rPr>
        <w:t xml:space="preserve">he recent case of </w:t>
      </w:r>
      <w:r w:rsidR="00186DAA" w:rsidRPr="008E582C">
        <w:rPr>
          <w:rFonts w:ascii="Trebuchet MS" w:hAnsi="Trebuchet MS"/>
          <w:b/>
          <w:i/>
          <w:spacing w:val="20"/>
        </w:rPr>
        <w:t>Lado &amp; 43 Ors. v. CPC &amp; 53 Ors</w:t>
      </w:r>
      <w:r w:rsidR="00186DAA">
        <w:rPr>
          <w:rFonts w:ascii="Trebuchet MS" w:hAnsi="Trebuchet MS"/>
          <w:spacing w:val="20"/>
        </w:rPr>
        <w:t>.</w:t>
      </w:r>
      <w:r w:rsidR="00186DAA">
        <w:rPr>
          <w:rStyle w:val="FootnoteReference"/>
          <w:rFonts w:ascii="Trebuchet MS" w:hAnsi="Trebuchet MS"/>
          <w:spacing w:val="20"/>
        </w:rPr>
        <w:footnoteReference w:id="58"/>
      </w:r>
      <w:r w:rsidR="00302AA6">
        <w:rPr>
          <w:rFonts w:ascii="Trebuchet MS" w:hAnsi="Trebuchet MS"/>
          <w:spacing w:val="20"/>
        </w:rPr>
        <w:t xml:space="preserve"> </w:t>
      </w:r>
      <w:r w:rsidR="00FD7936" w:rsidRPr="00FD7936">
        <w:rPr>
          <w:rFonts w:ascii="Trebuchet MS" w:hAnsi="Trebuchet MS"/>
          <w:bCs/>
          <w:spacing w:val="20"/>
          <w:lang w:val="en-GB"/>
        </w:rPr>
        <w:t>reinstates the long-aged position of the law that the question of the candidate a political party will sponsor in an election is in the nature of a political question which is not justiceable in a court of law.</w:t>
      </w:r>
      <w:r w:rsidR="00FD7936">
        <w:rPr>
          <w:rFonts w:ascii="Trebuchet MS" w:hAnsi="Trebuchet MS"/>
          <w:bCs/>
          <w:spacing w:val="20"/>
          <w:lang w:val="en-GB"/>
        </w:rPr>
        <w:t xml:space="preserve"> In</w:t>
      </w:r>
      <w:r w:rsidR="000529A9">
        <w:rPr>
          <w:rFonts w:ascii="Trebuchet MS" w:hAnsi="Trebuchet MS"/>
          <w:spacing w:val="20"/>
        </w:rPr>
        <w:t xml:space="preserve"> dismissing the appeal, </w:t>
      </w:r>
      <w:r w:rsidR="00D829D2">
        <w:rPr>
          <w:rFonts w:ascii="Trebuchet MS" w:hAnsi="Trebuchet MS"/>
          <w:spacing w:val="20"/>
        </w:rPr>
        <w:t xml:space="preserve">Onnoghen, JSC, </w:t>
      </w:r>
      <w:r w:rsidR="000529A9">
        <w:rPr>
          <w:rFonts w:ascii="Trebuchet MS" w:hAnsi="Trebuchet MS"/>
          <w:spacing w:val="20"/>
        </w:rPr>
        <w:t>held as follows:</w:t>
      </w:r>
    </w:p>
    <w:p w14:paraId="0AE6D5AF" w14:textId="1764F5A4" w:rsidR="00235357" w:rsidRDefault="00D829D2" w:rsidP="00E47BA8">
      <w:pPr>
        <w:spacing w:line="480" w:lineRule="auto"/>
        <w:ind w:left="1440" w:firstLine="720"/>
        <w:contextualSpacing/>
        <w:jc w:val="both"/>
        <w:rPr>
          <w:rFonts w:ascii="Trebuchet MS" w:hAnsi="Trebuchet MS"/>
          <w:bCs/>
          <w:spacing w:val="20"/>
          <w:lang w:val="en-GB"/>
        </w:rPr>
      </w:pPr>
      <w:r>
        <w:rPr>
          <w:rFonts w:ascii="Trebuchet MS" w:hAnsi="Trebuchet MS"/>
          <w:bCs/>
          <w:spacing w:val="20"/>
          <w:lang w:val="en-GB"/>
        </w:rPr>
        <w:t>“</w:t>
      </w:r>
      <w:r w:rsidR="00235357">
        <w:rPr>
          <w:rFonts w:ascii="Trebuchet MS" w:hAnsi="Trebuchet MS"/>
          <w:bCs/>
          <w:spacing w:val="20"/>
          <w:lang w:val="en-GB"/>
        </w:rPr>
        <w:t>The instant case is an election related matter in the sense that it is a pre-election matter arising from the nomination exercise allegedly conducted by the 1</w:t>
      </w:r>
      <w:r w:rsidR="00235357" w:rsidRPr="00235357">
        <w:rPr>
          <w:rFonts w:ascii="Trebuchet MS" w:hAnsi="Trebuchet MS"/>
          <w:bCs/>
          <w:spacing w:val="20"/>
          <w:vertAlign w:val="superscript"/>
          <w:lang w:val="en-GB"/>
        </w:rPr>
        <w:t>st</w:t>
      </w:r>
      <w:r w:rsidR="00235357">
        <w:rPr>
          <w:rFonts w:ascii="Trebuchet MS" w:hAnsi="Trebuchet MS"/>
          <w:bCs/>
          <w:spacing w:val="20"/>
          <w:lang w:val="en-GB"/>
        </w:rPr>
        <w:t xml:space="preserve"> Respondent to elect the candidate to represent it in the April, 2011 General Elections in Nigeria. The issue of jurisdiction raised in this case is therefore as it relates to the competence of the courts to hear and determine matters relating to the nomination of candidates by political parties</w:t>
      </w:r>
      <w:r>
        <w:rPr>
          <w:rFonts w:ascii="Trebuchet MS" w:hAnsi="Trebuchet MS"/>
          <w:bCs/>
          <w:spacing w:val="20"/>
          <w:lang w:val="en-GB"/>
        </w:rPr>
        <w:t xml:space="preserve"> for general elections which exercise has generally been held by the courts to be within the exclusive domestic jurisdiction of the political parties to the exclusion of the courts of law. </w:t>
      </w:r>
      <w:r w:rsidR="00235357" w:rsidRPr="00235357">
        <w:rPr>
          <w:rFonts w:ascii="Trebuchet MS" w:hAnsi="Trebuchet MS"/>
          <w:bCs/>
          <w:spacing w:val="20"/>
          <w:lang w:val="en-GB"/>
        </w:rPr>
        <w:t>It is in line with the above that the courts have held that the question of the candidate a political party may sponsor in an election is in a nature of a political question which is not justiceable in a court of law</w:t>
      </w:r>
      <w:r>
        <w:rPr>
          <w:rFonts w:ascii="Trebuchet MS" w:hAnsi="Trebuchet MS"/>
          <w:bCs/>
          <w:spacing w:val="20"/>
          <w:lang w:val="en-GB"/>
        </w:rPr>
        <w:t>, see: Onuoha v. Okafor (1983) SCNLR 244; (1983) NSCC 494.”</w:t>
      </w:r>
      <w:r w:rsidR="0076335F">
        <w:rPr>
          <w:rStyle w:val="FootnoteReference"/>
          <w:rFonts w:ascii="Trebuchet MS" w:hAnsi="Trebuchet MS"/>
          <w:bCs/>
          <w:spacing w:val="20"/>
          <w:lang w:val="en-GB"/>
        </w:rPr>
        <w:footnoteReference w:id="59"/>
      </w:r>
    </w:p>
    <w:p w14:paraId="511E622A" w14:textId="77777777" w:rsidR="00C22964" w:rsidRDefault="00C22964" w:rsidP="00E47BA8">
      <w:pPr>
        <w:spacing w:line="480" w:lineRule="auto"/>
        <w:contextualSpacing/>
        <w:jc w:val="both"/>
        <w:rPr>
          <w:rFonts w:ascii="Trebuchet MS" w:hAnsi="Trebuchet MS"/>
          <w:bCs/>
          <w:spacing w:val="20"/>
          <w:lang w:val="en-GB"/>
        </w:rPr>
      </w:pPr>
    </w:p>
    <w:p w14:paraId="3A266747" w14:textId="12608087" w:rsidR="00DD0ED4" w:rsidRDefault="00DD0ED4" w:rsidP="00E47BA8">
      <w:pPr>
        <w:spacing w:line="480" w:lineRule="auto"/>
        <w:contextualSpacing/>
        <w:jc w:val="both"/>
        <w:rPr>
          <w:rFonts w:ascii="Trebuchet MS" w:hAnsi="Trebuchet MS"/>
          <w:bCs/>
          <w:spacing w:val="20"/>
          <w:lang w:val="en-GB"/>
        </w:rPr>
      </w:pPr>
      <w:r>
        <w:rPr>
          <w:rFonts w:ascii="Trebuchet MS" w:hAnsi="Trebuchet MS"/>
          <w:bCs/>
          <w:spacing w:val="20"/>
          <w:lang w:val="en-GB"/>
        </w:rPr>
        <w:t>Onnoghen, JSC, while holding that the power of an aggrieved person who is not satisfied with the conduct of the primaries to elect a candidate must bring himself</w:t>
      </w:r>
      <w:r w:rsidR="007364AD">
        <w:rPr>
          <w:rFonts w:ascii="Trebuchet MS" w:hAnsi="Trebuchet MS"/>
          <w:bCs/>
          <w:spacing w:val="20"/>
          <w:lang w:val="en-GB"/>
        </w:rPr>
        <w:t xml:space="preserve"> within the purview of Section 87(4)(b)(ii); (c)(ii) and 9 of the Electoral Act, 2010 (as amended) </w:t>
      </w:r>
      <w:r>
        <w:rPr>
          <w:rFonts w:ascii="Trebuchet MS" w:hAnsi="Trebuchet MS"/>
          <w:bCs/>
          <w:spacing w:val="20"/>
          <w:lang w:val="en-GB"/>
        </w:rPr>
        <w:t>further held thus:</w:t>
      </w:r>
    </w:p>
    <w:p w14:paraId="1B2F6408" w14:textId="091E247E" w:rsidR="007364AD" w:rsidRPr="005452AE" w:rsidRDefault="005452AE" w:rsidP="00E47BA8">
      <w:pPr>
        <w:spacing w:line="480" w:lineRule="auto"/>
        <w:ind w:left="1440" w:firstLine="720"/>
        <w:contextualSpacing/>
        <w:jc w:val="both"/>
        <w:rPr>
          <w:rFonts w:ascii="Trebuchet MS" w:hAnsi="Trebuchet MS"/>
          <w:bCs/>
          <w:spacing w:val="20"/>
          <w:lang w:val="en-GB"/>
        </w:rPr>
      </w:pPr>
      <w:r w:rsidRPr="005452AE">
        <w:rPr>
          <w:rFonts w:ascii="Trebuchet MS" w:hAnsi="Trebuchet MS"/>
          <w:bCs/>
          <w:spacing w:val="20"/>
          <w:lang w:val="en-GB"/>
        </w:rPr>
        <w:t>“</w:t>
      </w:r>
      <w:r>
        <w:rPr>
          <w:rFonts w:ascii="Trebuchet MS" w:hAnsi="Trebuchet MS"/>
          <w:bCs/>
          <w:spacing w:val="20"/>
          <w:lang w:val="en-GB"/>
        </w:rPr>
        <w:t>The power of an aggrieved aspirant who is not satisfied with the conduct of the primaries by his party to elect a candidate must bring himself within the preview (sic) of Section 87(4)(b)(ii); (c)(ii) and (9) of the Electoral Act, 2010 (as amended), supra. It is only if he can come within the provisions of those subsections that his complaints can be justiceable as</w:t>
      </w:r>
      <w:r w:rsidRPr="005452AE">
        <w:rPr>
          <w:rFonts w:ascii="Trebuchet MS" w:hAnsi="Trebuchet MS"/>
          <w:bCs/>
          <w:spacing w:val="20"/>
          <w:lang w:val="en-GB"/>
        </w:rPr>
        <w:t xml:space="preserve"> the courts cannot still decide as between two or more contending parties which of them is the nominated candidate of a political party; that power still resides in the political parties to exercise. The enactment is not designed to encourage factions emerging from the political parties with each electing its candidates but claiming same to be candidates of the political party concerned.”</w:t>
      </w:r>
      <w:r w:rsidR="007C3A13">
        <w:rPr>
          <w:rStyle w:val="FootnoteReference"/>
          <w:rFonts w:ascii="Trebuchet MS" w:hAnsi="Trebuchet MS"/>
          <w:bCs/>
          <w:spacing w:val="20"/>
          <w:lang w:val="en-GB"/>
        </w:rPr>
        <w:footnoteReference w:id="60"/>
      </w:r>
    </w:p>
    <w:p w14:paraId="2D9768AE" w14:textId="77777777" w:rsidR="00432753" w:rsidRDefault="00432753" w:rsidP="00E47BA8">
      <w:pPr>
        <w:spacing w:line="480" w:lineRule="auto"/>
        <w:contextualSpacing/>
        <w:jc w:val="both"/>
        <w:rPr>
          <w:rFonts w:ascii="Trebuchet MS" w:hAnsi="Trebuchet MS"/>
          <w:spacing w:val="20"/>
        </w:rPr>
      </w:pPr>
    </w:p>
    <w:p w14:paraId="3C29DF22" w14:textId="466ABBFC" w:rsidR="006B0AC3" w:rsidRDefault="007C3A13" w:rsidP="00E47BA8">
      <w:pPr>
        <w:spacing w:line="480" w:lineRule="auto"/>
        <w:contextualSpacing/>
        <w:jc w:val="both"/>
        <w:rPr>
          <w:rFonts w:ascii="Trebuchet MS" w:hAnsi="Trebuchet MS"/>
          <w:spacing w:val="20"/>
        </w:rPr>
      </w:pPr>
      <w:r>
        <w:rPr>
          <w:rFonts w:ascii="Trebuchet MS" w:hAnsi="Trebuchet MS"/>
          <w:spacing w:val="20"/>
        </w:rPr>
        <w:t xml:space="preserve">It is pertinent to </w:t>
      </w:r>
      <w:r w:rsidR="00BA4075">
        <w:rPr>
          <w:rFonts w:ascii="Trebuchet MS" w:hAnsi="Trebuchet MS"/>
          <w:spacing w:val="20"/>
        </w:rPr>
        <w:t xml:space="preserve">differentiate the above cases from the cases of </w:t>
      </w:r>
      <w:r w:rsidR="00BA4075" w:rsidRPr="008E582C">
        <w:rPr>
          <w:rFonts w:ascii="Trebuchet MS" w:hAnsi="Trebuchet MS"/>
          <w:b/>
          <w:i/>
          <w:spacing w:val="20"/>
        </w:rPr>
        <w:t>Amaechi v. INEC</w:t>
      </w:r>
      <w:r w:rsidR="00BA4075">
        <w:rPr>
          <w:rStyle w:val="FootnoteReference"/>
          <w:rFonts w:ascii="Trebuchet MS" w:hAnsi="Trebuchet MS"/>
          <w:spacing w:val="20"/>
        </w:rPr>
        <w:footnoteReference w:id="61"/>
      </w:r>
      <w:r w:rsidR="00BA4075">
        <w:rPr>
          <w:rFonts w:ascii="Trebuchet MS" w:hAnsi="Trebuchet MS"/>
          <w:spacing w:val="20"/>
        </w:rPr>
        <w:t xml:space="preserve"> and </w:t>
      </w:r>
      <w:r w:rsidR="00BA4075" w:rsidRPr="008E582C">
        <w:rPr>
          <w:rFonts w:ascii="Trebuchet MS" w:hAnsi="Trebuchet MS"/>
          <w:b/>
          <w:i/>
          <w:spacing w:val="20"/>
        </w:rPr>
        <w:t>Ugwu v. Ararume</w:t>
      </w:r>
      <w:r w:rsidR="00BA4075">
        <w:rPr>
          <w:rFonts w:ascii="Trebuchet MS" w:hAnsi="Trebuchet MS"/>
          <w:spacing w:val="20"/>
        </w:rPr>
        <w:t>.</w:t>
      </w:r>
      <w:r w:rsidR="00BA4075">
        <w:rPr>
          <w:rStyle w:val="FootnoteReference"/>
          <w:rFonts w:ascii="Trebuchet MS" w:hAnsi="Trebuchet MS"/>
          <w:spacing w:val="20"/>
        </w:rPr>
        <w:footnoteReference w:id="62"/>
      </w:r>
      <w:r w:rsidR="00BA4075">
        <w:rPr>
          <w:rFonts w:ascii="Trebuchet MS" w:hAnsi="Trebuchet MS"/>
          <w:spacing w:val="20"/>
        </w:rPr>
        <w:t xml:space="preserve"> In the cases of </w:t>
      </w:r>
      <w:r w:rsidR="003C034B" w:rsidRPr="008E582C">
        <w:rPr>
          <w:rFonts w:ascii="Trebuchet MS" w:hAnsi="Trebuchet MS"/>
          <w:b/>
          <w:i/>
          <w:spacing w:val="20"/>
        </w:rPr>
        <w:t>Amaechi v. INEC</w:t>
      </w:r>
      <w:r w:rsidR="003C034B">
        <w:rPr>
          <w:rFonts w:ascii="Trebuchet MS" w:hAnsi="Trebuchet MS"/>
          <w:spacing w:val="20"/>
        </w:rPr>
        <w:t xml:space="preserve"> and </w:t>
      </w:r>
      <w:r w:rsidR="003C034B" w:rsidRPr="008E582C">
        <w:rPr>
          <w:rFonts w:ascii="Trebuchet MS" w:hAnsi="Trebuchet MS"/>
          <w:b/>
          <w:i/>
          <w:spacing w:val="20"/>
        </w:rPr>
        <w:t>Ugwu v. Ararume</w:t>
      </w:r>
      <w:r w:rsidR="003C034B">
        <w:rPr>
          <w:rFonts w:ascii="Trebuchet MS" w:hAnsi="Trebuchet MS"/>
          <w:spacing w:val="20"/>
        </w:rPr>
        <w:t>, the issue before the court was basically, whether in view of the provision of section 34</w:t>
      </w:r>
      <w:r w:rsidR="00913095">
        <w:rPr>
          <w:rStyle w:val="FootnoteReference"/>
          <w:rFonts w:ascii="Trebuchet MS" w:hAnsi="Trebuchet MS"/>
          <w:spacing w:val="20"/>
        </w:rPr>
        <w:footnoteReference w:id="63"/>
      </w:r>
      <w:r w:rsidR="003C034B">
        <w:rPr>
          <w:rFonts w:ascii="Trebuchet MS" w:hAnsi="Trebuchet MS"/>
          <w:spacing w:val="20"/>
        </w:rPr>
        <w:t xml:space="preserve"> of the Electoral Act, 2006, the substitution by the Peoples Democratic Party after the submission of candidates</w:t>
      </w:r>
      <w:r w:rsidR="00B1635A">
        <w:rPr>
          <w:rFonts w:ascii="Trebuchet MS" w:hAnsi="Trebuchet MS"/>
          <w:spacing w:val="20"/>
        </w:rPr>
        <w:t>’</w:t>
      </w:r>
      <w:r w:rsidR="003C034B">
        <w:rPr>
          <w:rFonts w:ascii="Trebuchet MS" w:hAnsi="Trebuchet MS"/>
          <w:spacing w:val="20"/>
        </w:rPr>
        <w:t xml:space="preserve"> name to the Independent National Electoral Commission satisfies the requirement </w:t>
      </w:r>
      <w:r w:rsidR="00213E6A">
        <w:rPr>
          <w:rFonts w:ascii="Trebuchet MS" w:hAnsi="Trebuchet MS"/>
          <w:spacing w:val="20"/>
        </w:rPr>
        <w:t>of cogent and verifiable reasons in</w:t>
      </w:r>
      <w:r w:rsidR="003C034B">
        <w:rPr>
          <w:rFonts w:ascii="Trebuchet MS" w:hAnsi="Trebuchet MS"/>
          <w:spacing w:val="20"/>
        </w:rPr>
        <w:t xml:space="preserve"> section 34</w:t>
      </w:r>
      <w:r w:rsidR="00390B04">
        <w:rPr>
          <w:rFonts w:ascii="Trebuchet MS" w:hAnsi="Trebuchet MS"/>
          <w:spacing w:val="20"/>
        </w:rPr>
        <w:t>(2)</w:t>
      </w:r>
      <w:r w:rsidR="003C034B">
        <w:rPr>
          <w:rFonts w:ascii="Trebuchet MS" w:hAnsi="Trebuchet MS"/>
          <w:spacing w:val="20"/>
        </w:rPr>
        <w:t xml:space="preserve"> of the Electoral Act, 2006. </w:t>
      </w:r>
      <w:r w:rsidR="007F1A86">
        <w:rPr>
          <w:rFonts w:ascii="Trebuchet MS" w:hAnsi="Trebuchet MS"/>
          <w:spacing w:val="20"/>
        </w:rPr>
        <w:t xml:space="preserve">In </w:t>
      </w:r>
      <w:r w:rsidR="007F1A86" w:rsidRPr="008E582C">
        <w:rPr>
          <w:rFonts w:ascii="Trebuchet MS" w:hAnsi="Trebuchet MS"/>
          <w:b/>
          <w:i/>
          <w:spacing w:val="20"/>
        </w:rPr>
        <w:t>Uwgu v. Ararume</w:t>
      </w:r>
      <w:r w:rsidR="007F1A86">
        <w:rPr>
          <w:rFonts w:ascii="Trebuchet MS" w:hAnsi="Trebuchet MS"/>
          <w:spacing w:val="20"/>
        </w:rPr>
        <w:t xml:space="preserve">, </w:t>
      </w:r>
      <w:r w:rsidR="007B6647">
        <w:rPr>
          <w:rFonts w:ascii="Trebuchet MS" w:hAnsi="Trebuchet MS"/>
          <w:spacing w:val="20"/>
        </w:rPr>
        <w:t xml:space="preserve">while holding that the reason given by the Peoples Democratic Party was not cogent and verifiable, </w:t>
      </w:r>
      <w:r w:rsidR="007F1A86">
        <w:rPr>
          <w:rFonts w:ascii="Trebuchet MS" w:hAnsi="Trebuchet MS"/>
          <w:spacing w:val="20"/>
        </w:rPr>
        <w:t>Onnoghen, JSC held thus:</w:t>
      </w:r>
    </w:p>
    <w:p w14:paraId="2F999A03" w14:textId="529BBFB4" w:rsidR="007F1A86" w:rsidRPr="00371E43" w:rsidRDefault="00371E43" w:rsidP="00E47BA8">
      <w:pPr>
        <w:spacing w:line="480" w:lineRule="auto"/>
        <w:ind w:left="1440" w:firstLine="720"/>
        <w:contextualSpacing/>
        <w:jc w:val="both"/>
        <w:rPr>
          <w:rFonts w:ascii="Trebuchet MS" w:hAnsi="Trebuchet MS"/>
          <w:spacing w:val="20"/>
        </w:rPr>
      </w:pPr>
      <w:r>
        <w:rPr>
          <w:rFonts w:ascii="Trebuchet MS" w:hAnsi="Trebuchet MS"/>
          <w:i/>
          <w:spacing w:val="20"/>
        </w:rPr>
        <w:t>“</w:t>
      </w:r>
      <w:r w:rsidRPr="00371E43">
        <w:rPr>
          <w:rFonts w:ascii="Trebuchet MS" w:hAnsi="Trebuchet MS"/>
          <w:spacing w:val="20"/>
        </w:rPr>
        <w:t>It is very clear from the above provisions that the right or power to nominate a candidate to be sponsored by a political party remains with the party just as the party still retains the right to change or substitute such candidate. Under the Electoral Act, 2002 if a political party desired to change or substitute its candidate it has to do so within 30 days to the election whereas under the current law particularly section 34(1) of the electoral Act, 2006, the party must do so within 60 days to the election in question. There is however a condition for the change to be effective which condition was never in the Electoral Act, 2002. That requirement is, that the political party intending to change or substitute its candidate must “give cogent and verifiable reasons” for wanting the change to be effected. It does not stop there, it goes further in subsection 3 to enact that no substitution of a candidate shall be effected less than 60 days to the election except in the case of the death of the previous candidate.</w:t>
      </w:r>
      <w:r>
        <w:rPr>
          <w:rFonts w:ascii="Trebuchet MS" w:hAnsi="Trebuchet MS"/>
          <w:i/>
          <w:spacing w:val="20"/>
        </w:rPr>
        <w:t>”</w:t>
      </w:r>
      <w:r w:rsidRPr="00F84B1B">
        <w:rPr>
          <w:rStyle w:val="FootnoteReference"/>
          <w:rFonts w:ascii="Trebuchet MS" w:hAnsi="Trebuchet MS"/>
          <w:spacing w:val="20"/>
        </w:rPr>
        <w:footnoteReference w:id="64"/>
      </w:r>
    </w:p>
    <w:p w14:paraId="31A63A7C" w14:textId="77777777" w:rsidR="00C22964" w:rsidRDefault="00C22964" w:rsidP="00E47BA8">
      <w:pPr>
        <w:spacing w:line="480" w:lineRule="auto"/>
        <w:contextualSpacing/>
        <w:jc w:val="both"/>
        <w:rPr>
          <w:rFonts w:ascii="Trebuchet MS" w:hAnsi="Trebuchet MS"/>
          <w:spacing w:val="20"/>
        </w:rPr>
      </w:pPr>
    </w:p>
    <w:p w14:paraId="2FE64BF4" w14:textId="3A4DA2BA" w:rsidR="00F428AD" w:rsidRDefault="00E86860" w:rsidP="00E47BA8">
      <w:pPr>
        <w:spacing w:line="480" w:lineRule="auto"/>
        <w:contextualSpacing/>
        <w:jc w:val="both"/>
        <w:rPr>
          <w:rFonts w:ascii="Trebuchet MS" w:hAnsi="Trebuchet MS"/>
          <w:spacing w:val="20"/>
        </w:rPr>
      </w:pPr>
      <w:r>
        <w:rPr>
          <w:rFonts w:ascii="Trebuchet MS" w:hAnsi="Trebuchet MS"/>
          <w:spacing w:val="20"/>
        </w:rPr>
        <w:t>In similar vein</w:t>
      </w:r>
      <w:r w:rsidR="007B6647">
        <w:rPr>
          <w:rFonts w:ascii="Trebuchet MS" w:hAnsi="Trebuchet MS"/>
          <w:spacing w:val="20"/>
        </w:rPr>
        <w:t xml:space="preserve">, in </w:t>
      </w:r>
      <w:r w:rsidR="007B6647" w:rsidRPr="008E582C">
        <w:rPr>
          <w:rFonts w:ascii="Trebuchet MS" w:hAnsi="Trebuchet MS"/>
          <w:b/>
          <w:i/>
          <w:spacing w:val="20"/>
        </w:rPr>
        <w:t>Ameachi v. INEC</w:t>
      </w:r>
      <w:r w:rsidR="007B6647">
        <w:rPr>
          <w:rFonts w:ascii="Trebuchet MS" w:hAnsi="Trebuchet MS"/>
          <w:spacing w:val="20"/>
        </w:rPr>
        <w:t xml:space="preserve">, </w:t>
      </w:r>
      <w:r w:rsidR="000556F6">
        <w:rPr>
          <w:rFonts w:ascii="Trebuchet MS" w:hAnsi="Trebuchet MS"/>
          <w:spacing w:val="20"/>
        </w:rPr>
        <w:t xml:space="preserve">while holding </w:t>
      </w:r>
      <w:r w:rsidR="007B6647">
        <w:rPr>
          <w:rFonts w:ascii="Trebuchet MS" w:hAnsi="Trebuchet MS"/>
          <w:spacing w:val="20"/>
        </w:rPr>
        <w:t xml:space="preserve">that the reason </w:t>
      </w:r>
      <w:r w:rsidR="000556F6">
        <w:rPr>
          <w:rFonts w:ascii="Trebuchet MS" w:hAnsi="Trebuchet MS"/>
          <w:spacing w:val="20"/>
        </w:rPr>
        <w:t xml:space="preserve">given by the PDP </w:t>
      </w:r>
      <w:r w:rsidR="007B6647">
        <w:rPr>
          <w:rFonts w:ascii="Trebuchet MS" w:hAnsi="Trebuchet MS"/>
          <w:spacing w:val="20"/>
        </w:rPr>
        <w:t xml:space="preserve">that the name of Ameachi was </w:t>
      </w:r>
      <w:r w:rsidR="000556F6">
        <w:rPr>
          <w:rFonts w:ascii="Trebuchet MS" w:hAnsi="Trebuchet MS"/>
          <w:spacing w:val="20"/>
        </w:rPr>
        <w:t xml:space="preserve">erroneously </w:t>
      </w:r>
      <w:r w:rsidR="007B6647">
        <w:rPr>
          <w:rFonts w:ascii="Trebuchet MS" w:hAnsi="Trebuchet MS"/>
          <w:spacing w:val="20"/>
        </w:rPr>
        <w:t>sent to INEC</w:t>
      </w:r>
      <w:r w:rsidR="000556F6">
        <w:rPr>
          <w:rFonts w:ascii="Trebuchet MS" w:hAnsi="Trebuchet MS"/>
          <w:spacing w:val="20"/>
        </w:rPr>
        <w:t xml:space="preserve"> was not cogent and verifiable, Oguntade, JSC, held</w:t>
      </w:r>
      <w:r w:rsidR="007B6647">
        <w:rPr>
          <w:rFonts w:ascii="Trebuchet MS" w:hAnsi="Trebuchet MS"/>
          <w:spacing w:val="20"/>
        </w:rPr>
        <w:t xml:space="preserve"> </w:t>
      </w:r>
      <w:r w:rsidR="000556F6">
        <w:rPr>
          <w:rFonts w:ascii="Trebuchet MS" w:hAnsi="Trebuchet MS"/>
          <w:spacing w:val="20"/>
        </w:rPr>
        <w:t>thus:</w:t>
      </w:r>
    </w:p>
    <w:p w14:paraId="7A26012A" w14:textId="52E02AD2" w:rsidR="00B91E8B" w:rsidRDefault="0094647C" w:rsidP="00E47BA8">
      <w:pPr>
        <w:spacing w:line="480" w:lineRule="auto"/>
        <w:ind w:left="1440" w:firstLine="720"/>
        <w:contextualSpacing/>
        <w:jc w:val="both"/>
        <w:rPr>
          <w:rFonts w:ascii="Trebuchet MS" w:hAnsi="Trebuchet MS"/>
          <w:spacing w:val="20"/>
        </w:rPr>
      </w:pPr>
      <w:r>
        <w:rPr>
          <w:rFonts w:ascii="Trebuchet MS" w:hAnsi="Trebuchet MS"/>
          <w:spacing w:val="20"/>
        </w:rPr>
        <w:t>“</w:t>
      </w:r>
      <w:r w:rsidR="00B91E8B" w:rsidRPr="00B91E8B">
        <w:rPr>
          <w:rFonts w:ascii="Trebuchet MS" w:hAnsi="Trebuchet MS"/>
          <w:spacing w:val="20"/>
        </w:rPr>
        <w:t>There is no doubt that PDP having previously sent Amaechi’s name to INEC by letter on 26/12/2006 could only validly remove the name or withdraw it if it complied with section</w:t>
      </w:r>
      <w:r>
        <w:rPr>
          <w:rFonts w:ascii="Trebuchet MS" w:hAnsi="Trebuchet MS"/>
          <w:spacing w:val="20"/>
        </w:rPr>
        <w:t xml:space="preserve"> </w:t>
      </w:r>
      <w:r w:rsidR="00B91E8B" w:rsidRPr="00B91E8B">
        <w:rPr>
          <w:rFonts w:ascii="Trebuchet MS" w:hAnsi="Trebuchet MS"/>
          <w:spacing w:val="20"/>
        </w:rPr>
        <w:t>34(2) above. The cogency or the verifiability of the reason for the withdrawal of a candidate’s name has to be considered against the background that INEC officials, pursuant to section 85 of the Electoral Act above, would have been present at a meeting or congress of a party called for the nomination of a candidate for an elective office.</w:t>
      </w:r>
      <w:r>
        <w:rPr>
          <w:rStyle w:val="FootnoteReference"/>
          <w:rFonts w:ascii="Trebuchet MS" w:hAnsi="Trebuchet MS"/>
          <w:spacing w:val="20"/>
        </w:rPr>
        <w:footnoteReference w:id="65"/>
      </w:r>
    </w:p>
    <w:p w14:paraId="2A8F8D60" w14:textId="570C74D6" w:rsidR="008B6FD9" w:rsidRDefault="00234749" w:rsidP="00E47BA8">
      <w:pPr>
        <w:spacing w:line="480" w:lineRule="auto"/>
        <w:contextualSpacing/>
        <w:jc w:val="both"/>
        <w:rPr>
          <w:rFonts w:ascii="Trebuchet MS" w:hAnsi="Trebuchet MS"/>
          <w:spacing w:val="20"/>
        </w:rPr>
      </w:pPr>
      <w:r>
        <w:rPr>
          <w:rFonts w:ascii="Trebuchet MS" w:hAnsi="Trebuchet MS"/>
          <w:spacing w:val="20"/>
        </w:rPr>
        <w:t xml:space="preserve">From the above decisions, it is without doubt that courts </w:t>
      </w:r>
      <w:r w:rsidR="00DC7E72">
        <w:rPr>
          <w:rFonts w:ascii="Trebuchet MS" w:hAnsi="Trebuchet MS"/>
          <w:spacing w:val="20"/>
        </w:rPr>
        <w:t xml:space="preserve">still </w:t>
      </w:r>
      <w:r>
        <w:rPr>
          <w:rFonts w:ascii="Trebuchet MS" w:hAnsi="Trebuchet MS"/>
          <w:spacing w:val="20"/>
        </w:rPr>
        <w:t>refrain from deciding political question</w:t>
      </w:r>
      <w:r w:rsidR="00295EFD">
        <w:rPr>
          <w:rFonts w:ascii="Trebuchet MS" w:hAnsi="Trebuchet MS"/>
          <w:spacing w:val="20"/>
        </w:rPr>
        <w:t xml:space="preserve"> as they regard same as non-justic</w:t>
      </w:r>
      <w:r w:rsidR="00080F0F">
        <w:rPr>
          <w:rFonts w:ascii="Trebuchet MS" w:hAnsi="Trebuchet MS"/>
          <w:spacing w:val="20"/>
        </w:rPr>
        <w:t>i</w:t>
      </w:r>
      <w:r w:rsidR="00295EFD">
        <w:rPr>
          <w:rFonts w:ascii="Trebuchet MS" w:hAnsi="Trebuchet MS"/>
          <w:spacing w:val="20"/>
        </w:rPr>
        <w:t xml:space="preserve">able. </w:t>
      </w:r>
      <w:r w:rsidR="00DC7E72">
        <w:rPr>
          <w:rFonts w:ascii="Trebuchet MS" w:hAnsi="Trebuchet MS"/>
          <w:spacing w:val="20"/>
        </w:rPr>
        <w:t xml:space="preserve">The decisions reached by the courts in the above cases of </w:t>
      </w:r>
      <w:r w:rsidR="00DC7E72" w:rsidRPr="008E582C">
        <w:rPr>
          <w:rFonts w:ascii="Trebuchet MS" w:hAnsi="Trebuchet MS"/>
          <w:b/>
          <w:i/>
          <w:spacing w:val="20"/>
        </w:rPr>
        <w:t>Amaechi v. INEC</w:t>
      </w:r>
      <w:r w:rsidR="00DC7E72">
        <w:rPr>
          <w:rFonts w:ascii="Trebuchet MS" w:hAnsi="Trebuchet MS"/>
          <w:spacing w:val="20"/>
        </w:rPr>
        <w:t xml:space="preserve"> and </w:t>
      </w:r>
      <w:r w:rsidR="00DC7E72" w:rsidRPr="008E582C">
        <w:rPr>
          <w:rFonts w:ascii="Trebuchet MS" w:hAnsi="Trebuchet MS"/>
          <w:b/>
          <w:i/>
          <w:spacing w:val="20"/>
        </w:rPr>
        <w:t>Ugwu v. Ararume</w:t>
      </w:r>
      <w:r w:rsidR="00DC7E72">
        <w:rPr>
          <w:rFonts w:ascii="Trebuchet MS" w:hAnsi="Trebuchet MS"/>
          <w:spacing w:val="20"/>
        </w:rPr>
        <w:t xml:space="preserve"> is not to say that the courts delved into intra-party issue. This is obviously because </w:t>
      </w:r>
      <w:r w:rsidR="003B1A4E">
        <w:rPr>
          <w:rFonts w:ascii="Trebuchet MS" w:hAnsi="Trebuchet MS"/>
          <w:spacing w:val="20"/>
        </w:rPr>
        <w:t xml:space="preserve">under the Electoral Act, 2006 </w:t>
      </w:r>
      <w:r w:rsidR="00DC7E72">
        <w:rPr>
          <w:rFonts w:ascii="Trebuchet MS" w:hAnsi="Trebuchet MS"/>
          <w:spacing w:val="20"/>
        </w:rPr>
        <w:t xml:space="preserve">once a candidate’s name is forwarded to INEC, a political party still has the power change or substitute such candidate but they must satisfy the requirement of cogent and verifiable reason for the substitution of the candidate </w:t>
      </w:r>
      <w:r w:rsidR="00534815">
        <w:rPr>
          <w:rFonts w:ascii="Trebuchet MS" w:hAnsi="Trebuchet MS"/>
          <w:spacing w:val="20"/>
        </w:rPr>
        <w:t xml:space="preserve">to be held valid. </w:t>
      </w:r>
      <w:r w:rsidR="00844609">
        <w:rPr>
          <w:rFonts w:ascii="Trebuchet MS" w:hAnsi="Trebuchet MS"/>
          <w:spacing w:val="20"/>
        </w:rPr>
        <w:t>These decisions</w:t>
      </w:r>
      <w:r w:rsidR="00346238">
        <w:rPr>
          <w:rFonts w:ascii="Trebuchet MS" w:hAnsi="Trebuchet MS"/>
          <w:spacing w:val="20"/>
        </w:rPr>
        <w:t xml:space="preserve"> strictly involve</w:t>
      </w:r>
      <w:r w:rsidR="00844609">
        <w:rPr>
          <w:rFonts w:ascii="Trebuchet MS" w:hAnsi="Trebuchet MS"/>
          <w:spacing w:val="20"/>
        </w:rPr>
        <w:t xml:space="preserve"> compliance with the provision of the Electoral Act</w:t>
      </w:r>
      <w:r w:rsidR="008657FE">
        <w:rPr>
          <w:rFonts w:ascii="Trebuchet MS" w:hAnsi="Trebuchet MS"/>
          <w:spacing w:val="20"/>
        </w:rPr>
        <w:t>, 2006</w:t>
      </w:r>
      <w:r w:rsidR="00844609">
        <w:rPr>
          <w:rFonts w:ascii="Trebuchet MS" w:hAnsi="Trebuchet MS"/>
          <w:spacing w:val="20"/>
        </w:rPr>
        <w:t xml:space="preserve"> and hence</w:t>
      </w:r>
      <w:r w:rsidR="008657FE">
        <w:rPr>
          <w:rFonts w:ascii="Trebuchet MS" w:hAnsi="Trebuchet MS"/>
          <w:spacing w:val="20"/>
        </w:rPr>
        <w:t>,</w:t>
      </w:r>
      <w:r w:rsidR="00844609">
        <w:rPr>
          <w:rFonts w:ascii="Trebuchet MS" w:hAnsi="Trebuchet MS"/>
          <w:spacing w:val="20"/>
        </w:rPr>
        <w:t xml:space="preserve"> goes beyond the realm of political</w:t>
      </w:r>
      <w:r w:rsidR="00F8239D">
        <w:rPr>
          <w:rFonts w:ascii="Trebuchet MS" w:hAnsi="Trebuchet MS"/>
          <w:spacing w:val="20"/>
        </w:rPr>
        <w:t xml:space="preserve"> party</w:t>
      </w:r>
      <w:r w:rsidR="00844609">
        <w:rPr>
          <w:rFonts w:ascii="Trebuchet MS" w:hAnsi="Trebuchet MS"/>
          <w:spacing w:val="20"/>
        </w:rPr>
        <w:t xml:space="preserve"> or intra-party domain.</w:t>
      </w:r>
      <w:r w:rsidR="00C957E2">
        <w:rPr>
          <w:rFonts w:ascii="Trebuchet MS" w:hAnsi="Trebuchet MS"/>
          <w:spacing w:val="20"/>
        </w:rPr>
        <w:t xml:space="preserve"> </w:t>
      </w:r>
      <w:r w:rsidR="00BC425A">
        <w:rPr>
          <w:rFonts w:ascii="Trebuchet MS" w:hAnsi="Trebuchet MS"/>
          <w:spacing w:val="20"/>
        </w:rPr>
        <w:t>It is to be noted that the Electoral Act, 2006 is no longer in force having been abrogated by the Electoral Act of 2010. Interestingly, under the Electoral Act, 2010 (as amended)</w:t>
      </w:r>
      <w:r w:rsidR="005133FE">
        <w:rPr>
          <w:rStyle w:val="FootnoteReference"/>
          <w:rFonts w:ascii="Trebuchet MS" w:hAnsi="Trebuchet MS"/>
          <w:spacing w:val="20"/>
        </w:rPr>
        <w:footnoteReference w:id="66"/>
      </w:r>
      <w:r w:rsidR="00BC425A">
        <w:rPr>
          <w:rFonts w:ascii="Trebuchet MS" w:hAnsi="Trebuchet MS"/>
          <w:spacing w:val="20"/>
        </w:rPr>
        <w:t xml:space="preserve"> political parties are no longer allowed to change or substitute their candidates whose names have been submitted to INEC except in the case of death or withdrawal by the</w:t>
      </w:r>
      <w:r w:rsidR="000F1CD9">
        <w:rPr>
          <w:rFonts w:ascii="Trebuchet MS" w:hAnsi="Trebuchet MS"/>
          <w:spacing w:val="20"/>
        </w:rPr>
        <w:t xml:space="preserve"> candidate</w:t>
      </w:r>
      <w:r w:rsidR="00495730">
        <w:rPr>
          <w:rFonts w:ascii="Trebuchet MS" w:hAnsi="Trebuchet MS"/>
          <w:spacing w:val="20"/>
        </w:rPr>
        <w:t>s</w:t>
      </w:r>
      <w:r w:rsidR="000F1CD9">
        <w:rPr>
          <w:rFonts w:ascii="Trebuchet MS" w:hAnsi="Trebuchet MS"/>
          <w:spacing w:val="20"/>
        </w:rPr>
        <w:t>.</w:t>
      </w:r>
      <w:r w:rsidR="00E305EB">
        <w:rPr>
          <w:rFonts w:ascii="Trebuchet MS" w:hAnsi="Trebuchet MS"/>
          <w:spacing w:val="20"/>
        </w:rPr>
        <w:t xml:space="preserve"> </w:t>
      </w:r>
      <w:r w:rsidR="00D07CCE">
        <w:rPr>
          <w:rFonts w:ascii="Trebuchet MS" w:hAnsi="Trebuchet MS"/>
          <w:spacing w:val="20"/>
        </w:rPr>
        <w:t xml:space="preserve">It is believed that </w:t>
      </w:r>
      <w:r w:rsidR="00DE7703">
        <w:rPr>
          <w:rFonts w:ascii="Trebuchet MS" w:hAnsi="Trebuchet MS"/>
          <w:spacing w:val="20"/>
        </w:rPr>
        <w:t>the lawmaker deliberately inserted the</w:t>
      </w:r>
      <w:r w:rsidR="00D07CCE">
        <w:rPr>
          <w:rFonts w:ascii="Trebuchet MS" w:hAnsi="Trebuchet MS"/>
          <w:spacing w:val="20"/>
        </w:rPr>
        <w:t xml:space="preserve"> provision</w:t>
      </w:r>
      <w:r w:rsidR="00843747">
        <w:rPr>
          <w:rFonts w:ascii="Trebuchet MS" w:hAnsi="Trebuchet MS"/>
          <w:spacing w:val="20"/>
        </w:rPr>
        <w:t xml:space="preserve"> of section 33 of the Electoral Act, 2010</w:t>
      </w:r>
      <w:r w:rsidR="00D07CCE">
        <w:rPr>
          <w:rFonts w:ascii="Trebuchet MS" w:hAnsi="Trebuchet MS"/>
          <w:spacing w:val="20"/>
        </w:rPr>
        <w:t xml:space="preserve"> </w:t>
      </w:r>
      <w:r w:rsidR="00032719">
        <w:rPr>
          <w:rFonts w:ascii="Trebuchet MS" w:hAnsi="Trebuchet MS"/>
          <w:spacing w:val="20"/>
        </w:rPr>
        <w:t>to halt</w:t>
      </w:r>
      <w:r w:rsidR="00D07CCE">
        <w:rPr>
          <w:rFonts w:ascii="Trebuchet MS" w:hAnsi="Trebuchet MS"/>
          <w:spacing w:val="20"/>
        </w:rPr>
        <w:t xml:space="preserve"> </w:t>
      </w:r>
      <w:r w:rsidR="00843747">
        <w:rPr>
          <w:rFonts w:ascii="Trebuchet MS" w:hAnsi="Trebuchet MS"/>
          <w:spacing w:val="20"/>
        </w:rPr>
        <w:t xml:space="preserve">the abuse of </w:t>
      </w:r>
      <w:r w:rsidR="00DE7703">
        <w:rPr>
          <w:rFonts w:ascii="Trebuchet MS" w:hAnsi="Trebuchet MS"/>
          <w:spacing w:val="20"/>
        </w:rPr>
        <w:t xml:space="preserve">rampant </w:t>
      </w:r>
      <w:r w:rsidR="00032719">
        <w:rPr>
          <w:rFonts w:ascii="Trebuchet MS" w:hAnsi="Trebuchet MS"/>
          <w:spacing w:val="20"/>
        </w:rPr>
        <w:t>substitution</w:t>
      </w:r>
      <w:r w:rsidR="00843747">
        <w:rPr>
          <w:rFonts w:ascii="Trebuchet MS" w:hAnsi="Trebuchet MS"/>
          <w:spacing w:val="20"/>
        </w:rPr>
        <w:t xml:space="preserve"> of candidate by political parties.</w:t>
      </w:r>
      <w:r w:rsidR="00424B22">
        <w:rPr>
          <w:rFonts w:ascii="Trebuchet MS" w:hAnsi="Trebuchet MS"/>
          <w:spacing w:val="20"/>
        </w:rPr>
        <w:t xml:space="preserve"> This, however, is a welcome development</w:t>
      </w:r>
      <w:r w:rsidR="00DE7703">
        <w:rPr>
          <w:rFonts w:ascii="Trebuchet MS" w:hAnsi="Trebuchet MS"/>
          <w:spacing w:val="20"/>
        </w:rPr>
        <w:t xml:space="preserve"> as this provision has checked political parties from the </w:t>
      </w:r>
      <w:r w:rsidR="00FF2EB9">
        <w:rPr>
          <w:rFonts w:ascii="Trebuchet MS" w:hAnsi="Trebuchet MS"/>
          <w:spacing w:val="20"/>
        </w:rPr>
        <w:t>wanton substitution</w:t>
      </w:r>
      <w:r w:rsidR="00475F8B">
        <w:rPr>
          <w:rFonts w:ascii="Trebuchet MS" w:hAnsi="Trebuchet MS"/>
          <w:spacing w:val="20"/>
        </w:rPr>
        <w:t xml:space="preserve"> </w:t>
      </w:r>
      <w:r w:rsidR="00A0750A">
        <w:rPr>
          <w:rFonts w:ascii="Trebuchet MS" w:hAnsi="Trebuchet MS"/>
          <w:spacing w:val="20"/>
        </w:rPr>
        <w:t>of candidates</w:t>
      </w:r>
      <w:r w:rsidR="00B8701A">
        <w:rPr>
          <w:rFonts w:ascii="Trebuchet MS" w:hAnsi="Trebuchet MS"/>
          <w:spacing w:val="20"/>
        </w:rPr>
        <w:t xml:space="preserve"> whose names have been forwarded to INEC</w:t>
      </w:r>
      <w:r w:rsidR="006A7F76">
        <w:rPr>
          <w:rFonts w:ascii="Trebuchet MS" w:hAnsi="Trebuchet MS"/>
          <w:spacing w:val="20"/>
        </w:rPr>
        <w:t>. The only situation permitted is where the candidate dies or the candidate whose name has been forwarded withdraws from contesting.</w:t>
      </w:r>
      <w:r w:rsidR="00202C82">
        <w:rPr>
          <w:rFonts w:ascii="Trebuchet MS" w:hAnsi="Trebuchet MS"/>
          <w:spacing w:val="20"/>
        </w:rPr>
        <w:t xml:space="preserve"> This is geared towards the observance of internal democracy.</w:t>
      </w:r>
      <w:r w:rsidR="009536B6">
        <w:rPr>
          <w:rFonts w:ascii="Trebuchet MS" w:hAnsi="Trebuchet MS"/>
          <w:spacing w:val="20"/>
        </w:rPr>
        <w:t xml:space="preserve"> </w:t>
      </w:r>
    </w:p>
    <w:p w14:paraId="6F90F91D" w14:textId="77777777" w:rsidR="00295EFD" w:rsidRDefault="00295EFD" w:rsidP="00E47BA8">
      <w:pPr>
        <w:spacing w:line="480" w:lineRule="auto"/>
        <w:contextualSpacing/>
        <w:jc w:val="both"/>
        <w:rPr>
          <w:rFonts w:ascii="Trebuchet MS" w:hAnsi="Trebuchet MS"/>
          <w:spacing w:val="20"/>
        </w:rPr>
      </w:pPr>
    </w:p>
    <w:p w14:paraId="3C7EE63A" w14:textId="1BC8733D" w:rsidR="00BF6D93" w:rsidRPr="00E47BA8" w:rsidRDefault="008B6FD9" w:rsidP="00E47BA8">
      <w:pPr>
        <w:spacing w:line="480" w:lineRule="auto"/>
        <w:contextualSpacing/>
        <w:jc w:val="both"/>
        <w:rPr>
          <w:rFonts w:ascii="Trebuchet MS" w:hAnsi="Trebuchet MS"/>
          <w:b/>
          <w:spacing w:val="20"/>
        </w:rPr>
      </w:pPr>
      <w:r w:rsidRPr="00E47BA8">
        <w:rPr>
          <w:rFonts w:ascii="Trebuchet MS" w:hAnsi="Trebuchet MS"/>
          <w:b/>
          <w:spacing w:val="20"/>
        </w:rPr>
        <w:t>General Election Dispute</w:t>
      </w:r>
      <w:r w:rsidR="00FD52F0" w:rsidRPr="00E47BA8">
        <w:rPr>
          <w:rFonts w:ascii="Trebuchet MS" w:hAnsi="Trebuchet MS"/>
          <w:b/>
          <w:spacing w:val="20"/>
        </w:rPr>
        <w:t xml:space="preserve"> Resolution.</w:t>
      </w:r>
    </w:p>
    <w:p w14:paraId="602F7809" w14:textId="6B5D0637" w:rsidR="008B6FD9" w:rsidRDefault="00911137" w:rsidP="00E47BA8">
      <w:pPr>
        <w:spacing w:line="480" w:lineRule="auto"/>
        <w:contextualSpacing/>
        <w:jc w:val="both"/>
        <w:rPr>
          <w:rFonts w:ascii="Trebuchet MS" w:hAnsi="Trebuchet MS"/>
          <w:spacing w:val="20"/>
        </w:rPr>
      </w:pPr>
      <w:r>
        <w:rPr>
          <w:rFonts w:ascii="Trebuchet MS" w:hAnsi="Trebuchet MS"/>
          <w:spacing w:val="20"/>
        </w:rPr>
        <w:t xml:space="preserve">As earlier stated, general elections are elections that are conducted to fill </w:t>
      </w:r>
      <w:r w:rsidR="00E90E33">
        <w:rPr>
          <w:rFonts w:ascii="Trebuchet MS" w:hAnsi="Trebuchet MS"/>
          <w:spacing w:val="20"/>
        </w:rPr>
        <w:t xml:space="preserve">in </w:t>
      </w:r>
      <w:r>
        <w:rPr>
          <w:rFonts w:ascii="Trebuchet MS" w:hAnsi="Trebuchet MS"/>
          <w:spacing w:val="20"/>
        </w:rPr>
        <w:t xml:space="preserve">political offices that are recognized by the Constitution. Election disputes in general election are usually resolved by </w:t>
      </w:r>
      <w:r w:rsidR="001706D0">
        <w:rPr>
          <w:rFonts w:ascii="Trebuchet MS" w:hAnsi="Trebuchet MS"/>
          <w:spacing w:val="20"/>
        </w:rPr>
        <w:t>presentation of</w:t>
      </w:r>
      <w:r w:rsidR="00BD2B2E">
        <w:rPr>
          <w:rFonts w:ascii="Trebuchet MS" w:hAnsi="Trebuchet MS"/>
          <w:spacing w:val="20"/>
        </w:rPr>
        <w:t xml:space="preserve"> </w:t>
      </w:r>
      <w:r>
        <w:rPr>
          <w:rFonts w:ascii="Trebuchet MS" w:hAnsi="Trebuchet MS"/>
          <w:spacing w:val="20"/>
        </w:rPr>
        <w:t>petitions before the Tribunals</w:t>
      </w:r>
      <w:r w:rsidR="00BD2B2E">
        <w:rPr>
          <w:rFonts w:ascii="Trebuchet MS" w:hAnsi="Trebuchet MS"/>
          <w:spacing w:val="20"/>
        </w:rPr>
        <w:t xml:space="preserve"> and Courts </w:t>
      </w:r>
      <w:r w:rsidR="000A7D76">
        <w:rPr>
          <w:rFonts w:ascii="Trebuchet MS" w:hAnsi="Trebuchet MS"/>
          <w:spacing w:val="20"/>
        </w:rPr>
        <w:t xml:space="preserve">that have jurisdiction </w:t>
      </w:r>
      <w:r w:rsidR="00BD2B2E">
        <w:rPr>
          <w:rFonts w:ascii="Trebuchet MS" w:hAnsi="Trebuchet MS"/>
          <w:spacing w:val="20"/>
        </w:rPr>
        <w:t>to hear and determine such petitions.</w:t>
      </w:r>
      <w:r w:rsidR="001706D0">
        <w:rPr>
          <w:rFonts w:ascii="Trebuchet MS" w:hAnsi="Trebuchet MS"/>
          <w:spacing w:val="20"/>
        </w:rPr>
        <w:t xml:space="preserve"> </w:t>
      </w:r>
    </w:p>
    <w:p w14:paraId="76DED6ED" w14:textId="77777777" w:rsidR="00C61201" w:rsidRDefault="00C61201" w:rsidP="00E47BA8">
      <w:pPr>
        <w:spacing w:line="480" w:lineRule="auto"/>
        <w:contextualSpacing/>
        <w:jc w:val="both"/>
        <w:rPr>
          <w:rFonts w:ascii="Trebuchet MS" w:hAnsi="Trebuchet MS"/>
          <w:spacing w:val="20"/>
        </w:rPr>
      </w:pPr>
    </w:p>
    <w:p w14:paraId="5DE83124" w14:textId="5D09FACE" w:rsidR="00C61201" w:rsidRDefault="00C61201" w:rsidP="00E47BA8">
      <w:pPr>
        <w:spacing w:line="480" w:lineRule="auto"/>
        <w:contextualSpacing/>
        <w:jc w:val="both"/>
        <w:rPr>
          <w:rFonts w:ascii="Trebuchet MS" w:hAnsi="Trebuchet MS"/>
          <w:spacing w:val="20"/>
        </w:rPr>
      </w:pPr>
      <w:r>
        <w:rPr>
          <w:rFonts w:ascii="Trebuchet MS" w:hAnsi="Trebuchet MS"/>
          <w:spacing w:val="20"/>
        </w:rPr>
        <w:t>Election petition against Presidential and Vice-Presidential election, Governorship and Vice-Governorship election, National Assembly and Houses of Assembly election shall be filed within 21 days after the date of the declaration of result of the elections</w:t>
      </w:r>
      <w:r>
        <w:rPr>
          <w:rStyle w:val="FootnoteReference"/>
          <w:rFonts w:ascii="Trebuchet MS" w:hAnsi="Trebuchet MS"/>
          <w:spacing w:val="20"/>
        </w:rPr>
        <w:footnoteReference w:id="67"/>
      </w:r>
      <w:r w:rsidR="004312CC">
        <w:rPr>
          <w:rFonts w:ascii="Trebuchet MS" w:hAnsi="Trebuchet MS"/>
          <w:spacing w:val="20"/>
        </w:rPr>
        <w:t xml:space="preserve"> and may be presented by a candidate in an election or a political party which participated in the election</w:t>
      </w:r>
      <w:r w:rsidR="00A7693C">
        <w:rPr>
          <w:rFonts w:ascii="Trebuchet MS" w:hAnsi="Trebuchet MS"/>
          <w:spacing w:val="20"/>
        </w:rPr>
        <w:t xml:space="preserve"> or by both a candidate and its political party that participated in the election.</w:t>
      </w:r>
      <w:r w:rsidR="00A7693C">
        <w:rPr>
          <w:rStyle w:val="FootnoteReference"/>
          <w:rFonts w:ascii="Trebuchet MS" w:hAnsi="Trebuchet MS"/>
          <w:spacing w:val="20"/>
        </w:rPr>
        <w:footnoteReference w:id="68"/>
      </w:r>
      <w:r w:rsidR="000B6C30">
        <w:rPr>
          <w:rFonts w:ascii="Trebuchet MS" w:hAnsi="Trebuchet MS"/>
          <w:spacing w:val="20"/>
        </w:rPr>
        <w:t xml:space="preserve"> A person whose election is complained of is referred to as the respondent</w:t>
      </w:r>
      <w:r w:rsidR="000B6C30">
        <w:rPr>
          <w:rStyle w:val="FootnoteReference"/>
          <w:rFonts w:ascii="Trebuchet MS" w:hAnsi="Trebuchet MS"/>
          <w:spacing w:val="20"/>
        </w:rPr>
        <w:footnoteReference w:id="69"/>
      </w:r>
      <w:r w:rsidR="006E0EA4">
        <w:rPr>
          <w:rFonts w:ascii="Trebuchet MS" w:hAnsi="Trebuchet MS"/>
          <w:spacing w:val="20"/>
        </w:rPr>
        <w:t xml:space="preserve"> and where a petitioner complains of the conduct of an Electoral Officer, a Presiding Officer or Returning Officer, it</w:t>
      </w:r>
      <w:r w:rsidR="008B6BCD">
        <w:rPr>
          <w:rFonts w:ascii="Trebuchet MS" w:hAnsi="Trebuchet MS"/>
          <w:spacing w:val="20"/>
        </w:rPr>
        <w:t xml:space="preserve"> shall not be necessary to join such officers provided Independent National Electoral Commission (INEC) is made a respondent because INEC will be deemed to be defending the petition for itself and on behalf of its officers and such other persons</w:t>
      </w:r>
      <w:r w:rsidR="00786BA7">
        <w:rPr>
          <w:rFonts w:ascii="Trebuchet MS" w:hAnsi="Trebuchet MS"/>
          <w:spacing w:val="20"/>
        </w:rPr>
        <w:t>.</w:t>
      </w:r>
      <w:r w:rsidR="00786BA7">
        <w:rPr>
          <w:rStyle w:val="FootnoteReference"/>
          <w:rFonts w:ascii="Trebuchet MS" w:hAnsi="Trebuchet MS"/>
          <w:spacing w:val="20"/>
        </w:rPr>
        <w:footnoteReference w:id="70"/>
      </w:r>
      <w:r w:rsidR="008B6BCD">
        <w:rPr>
          <w:rFonts w:ascii="Trebuchet MS" w:hAnsi="Trebuchet MS"/>
          <w:spacing w:val="20"/>
        </w:rPr>
        <w:t xml:space="preserve"> </w:t>
      </w:r>
    </w:p>
    <w:p w14:paraId="41E59D9E" w14:textId="77777777" w:rsidR="00685A40" w:rsidRDefault="00685A40" w:rsidP="00E47BA8">
      <w:pPr>
        <w:spacing w:line="480" w:lineRule="auto"/>
        <w:contextualSpacing/>
        <w:jc w:val="both"/>
        <w:rPr>
          <w:rFonts w:ascii="Trebuchet MS" w:hAnsi="Trebuchet MS"/>
          <w:spacing w:val="20"/>
        </w:rPr>
      </w:pPr>
    </w:p>
    <w:p w14:paraId="20DC9F60" w14:textId="3CE42BBD" w:rsidR="00685A40" w:rsidRDefault="00685A40" w:rsidP="00E47BA8">
      <w:pPr>
        <w:spacing w:line="480" w:lineRule="auto"/>
        <w:contextualSpacing/>
        <w:jc w:val="both"/>
        <w:rPr>
          <w:rFonts w:ascii="Trebuchet MS" w:hAnsi="Trebuchet MS"/>
          <w:spacing w:val="20"/>
        </w:rPr>
      </w:pPr>
      <w:r>
        <w:rPr>
          <w:rFonts w:ascii="Trebuchet MS" w:hAnsi="Trebuchet MS"/>
          <w:spacing w:val="20"/>
        </w:rPr>
        <w:t>The grounds upon which an election may be questioned are contained in section 138</w:t>
      </w:r>
      <w:r w:rsidR="009453E8">
        <w:rPr>
          <w:rFonts w:ascii="Trebuchet MS" w:hAnsi="Trebuchet MS"/>
          <w:spacing w:val="20"/>
        </w:rPr>
        <w:t>(1)</w:t>
      </w:r>
      <w:r>
        <w:rPr>
          <w:rFonts w:ascii="Trebuchet MS" w:hAnsi="Trebuchet MS"/>
          <w:spacing w:val="20"/>
        </w:rPr>
        <w:t xml:space="preserve"> of the Electoral Act, 2010</w:t>
      </w:r>
      <w:r w:rsidR="008E10F4">
        <w:rPr>
          <w:rFonts w:ascii="Trebuchet MS" w:hAnsi="Trebuchet MS"/>
          <w:spacing w:val="20"/>
        </w:rPr>
        <w:t xml:space="preserve"> </w:t>
      </w:r>
      <w:r w:rsidR="009F2F1C">
        <w:rPr>
          <w:rFonts w:ascii="Trebuchet MS" w:hAnsi="Trebuchet MS"/>
          <w:spacing w:val="20"/>
        </w:rPr>
        <w:t>(</w:t>
      </w:r>
      <w:r w:rsidR="008E10F4">
        <w:rPr>
          <w:rFonts w:ascii="Trebuchet MS" w:hAnsi="Trebuchet MS"/>
          <w:spacing w:val="20"/>
        </w:rPr>
        <w:t>as amended</w:t>
      </w:r>
      <w:r w:rsidR="009F2F1C">
        <w:rPr>
          <w:rFonts w:ascii="Trebuchet MS" w:hAnsi="Trebuchet MS"/>
          <w:spacing w:val="20"/>
        </w:rPr>
        <w:t>)</w:t>
      </w:r>
      <w:r>
        <w:rPr>
          <w:rFonts w:ascii="Trebuchet MS" w:hAnsi="Trebuchet MS"/>
          <w:spacing w:val="20"/>
        </w:rPr>
        <w:t xml:space="preserve"> which provide thus:</w:t>
      </w:r>
    </w:p>
    <w:p w14:paraId="090A9BC0" w14:textId="2F7703E1" w:rsidR="00550A34" w:rsidRPr="00550A34" w:rsidRDefault="00550A34" w:rsidP="00E47BA8">
      <w:pPr>
        <w:spacing w:line="480" w:lineRule="auto"/>
        <w:ind w:left="720"/>
        <w:contextualSpacing/>
        <w:jc w:val="both"/>
        <w:rPr>
          <w:rFonts w:ascii="Trebuchet MS" w:hAnsi="Trebuchet MS"/>
          <w:spacing w:val="20"/>
        </w:rPr>
      </w:pPr>
      <w:r>
        <w:rPr>
          <w:rFonts w:ascii="Trebuchet MS" w:hAnsi="Trebuchet MS"/>
          <w:spacing w:val="20"/>
        </w:rPr>
        <w:t xml:space="preserve">“(1) </w:t>
      </w:r>
      <w:r w:rsidRPr="00550A34">
        <w:rPr>
          <w:rFonts w:ascii="Trebuchet MS" w:hAnsi="Trebuchet MS"/>
          <w:spacing w:val="20"/>
        </w:rPr>
        <w:t>An election may be questioned on any of the following grounds, that is to say-</w:t>
      </w:r>
    </w:p>
    <w:p w14:paraId="00C8DF20" w14:textId="568E5AE0" w:rsidR="00550A34" w:rsidRPr="00550A34" w:rsidRDefault="00550A34" w:rsidP="00E47BA8">
      <w:pPr>
        <w:pStyle w:val="ListParagraph"/>
        <w:numPr>
          <w:ilvl w:val="0"/>
          <w:numId w:val="11"/>
        </w:numPr>
        <w:spacing w:line="480" w:lineRule="auto"/>
        <w:jc w:val="both"/>
        <w:rPr>
          <w:rFonts w:ascii="Trebuchet MS" w:hAnsi="Trebuchet MS"/>
          <w:spacing w:val="20"/>
        </w:rPr>
      </w:pPr>
      <w:r w:rsidRPr="00550A34">
        <w:rPr>
          <w:rFonts w:ascii="Trebuchet MS" w:hAnsi="Trebuchet MS"/>
          <w:spacing w:val="20"/>
        </w:rPr>
        <w:t>that a person whose election is questioned was, at the time of the election, not qualified to contest the election;</w:t>
      </w:r>
    </w:p>
    <w:p w14:paraId="12A63BA3" w14:textId="77777777" w:rsidR="00550A34" w:rsidRDefault="00550A34" w:rsidP="00E47BA8">
      <w:pPr>
        <w:pStyle w:val="ListParagraph"/>
        <w:numPr>
          <w:ilvl w:val="0"/>
          <w:numId w:val="11"/>
        </w:numPr>
        <w:spacing w:line="480" w:lineRule="auto"/>
        <w:jc w:val="both"/>
        <w:rPr>
          <w:rFonts w:ascii="Trebuchet MS" w:hAnsi="Trebuchet MS"/>
          <w:spacing w:val="20"/>
        </w:rPr>
      </w:pPr>
      <w:r w:rsidRPr="00550A34">
        <w:rPr>
          <w:rFonts w:ascii="Trebuchet MS" w:hAnsi="Trebuchet MS"/>
          <w:spacing w:val="20"/>
        </w:rPr>
        <w:t>that the election was invalid by reason of corrupt practices or non-compliance with the provisions of this Act;</w:t>
      </w:r>
    </w:p>
    <w:p w14:paraId="1371931F" w14:textId="77777777" w:rsidR="00550A34" w:rsidRDefault="00550A34" w:rsidP="00E47BA8">
      <w:pPr>
        <w:pStyle w:val="ListParagraph"/>
        <w:numPr>
          <w:ilvl w:val="0"/>
          <w:numId w:val="11"/>
        </w:numPr>
        <w:spacing w:line="480" w:lineRule="auto"/>
        <w:jc w:val="both"/>
        <w:rPr>
          <w:rFonts w:ascii="Trebuchet MS" w:hAnsi="Trebuchet MS"/>
          <w:spacing w:val="20"/>
        </w:rPr>
      </w:pPr>
      <w:r w:rsidRPr="00550A34">
        <w:rPr>
          <w:rFonts w:ascii="Trebuchet MS" w:hAnsi="Trebuchet MS"/>
          <w:spacing w:val="20"/>
        </w:rPr>
        <w:t>that the respondent was not duly elected by the majority of lawful votes cast at the election; or</w:t>
      </w:r>
    </w:p>
    <w:p w14:paraId="61C09618" w14:textId="42BA5894" w:rsidR="00685A40" w:rsidRDefault="00550A34" w:rsidP="00E47BA8">
      <w:pPr>
        <w:pStyle w:val="ListParagraph"/>
        <w:numPr>
          <w:ilvl w:val="0"/>
          <w:numId w:val="11"/>
        </w:numPr>
        <w:spacing w:line="480" w:lineRule="auto"/>
        <w:jc w:val="both"/>
        <w:rPr>
          <w:rFonts w:ascii="Trebuchet MS" w:hAnsi="Trebuchet MS"/>
          <w:spacing w:val="20"/>
        </w:rPr>
      </w:pPr>
      <w:r w:rsidRPr="00550A34">
        <w:rPr>
          <w:rFonts w:ascii="Trebuchet MS" w:hAnsi="Trebuchet MS"/>
          <w:spacing w:val="20"/>
        </w:rPr>
        <w:t>that the petitioner or its candidate was validly nominated but was unlawfully excluded from the election.</w:t>
      </w:r>
      <w:r>
        <w:rPr>
          <w:rFonts w:ascii="Trebuchet MS" w:hAnsi="Trebuchet MS"/>
          <w:spacing w:val="20"/>
        </w:rPr>
        <w:t>”</w:t>
      </w:r>
    </w:p>
    <w:p w14:paraId="1C47D175" w14:textId="77777777" w:rsidR="00F2713E" w:rsidRPr="00DD2867" w:rsidRDefault="00F2713E" w:rsidP="00E47BA8">
      <w:pPr>
        <w:spacing w:line="480" w:lineRule="auto"/>
        <w:contextualSpacing/>
        <w:jc w:val="both"/>
        <w:rPr>
          <w:rFonts w:ascii="Trebuchet MS" w:hAnsi="Trebuchet MS"/>
          <w:spacing w:val="20"/>
          <w:sz w:val="16"/>
        </w:rPr>
      </w:pPr>
    </w:p>
    <w:p w14:paraId="28E5A51B" w14:textId="592F33BB" w:rsidR="000417EA" w:rsidRDefault="000417EA" w:rsidP="00E47BA8">
      <w:pPr>
        <w:spacing w:line="480" w:lineRule="auto"/>
        <w:contextualSpacing/>
        <w:jc w:val="both"/>
        <w:rPr>
          <w:rFonts w:ascii="Trebuchet MS" w:hAnsi="Trebuchet MS"/>
          <w:spacing w:val="20"/>
        </w:rPr>
      </w:pPr>
      <w:r>
        <w:rPr>
          <w:rFonts w:ascii="Trebuchet MS" w:hAnsi="Trebuchet MS"/>
          <w:spacing w:val="20"/>
        </w:rPr>
        <w:t xml:space="preserve">The above grounds </w:t>
      </w:r>
      <w:r w:rsidR="00511476">
        <w:rPr>
          <w:rFonts w:ascii="Trebuchet MS" w:hAnsi="Trebuchet MS"/>
          <w:spacing w:val="20"/>
        </w:rPr>
        <w:t>listed</w:t>
      </w:r>
      <w:r>
        <w:rPr>
          <w:rFonts w:ascii="Trebuchet MS" w:hAnsi="Trebuchet MS"/>
          <w:spacing w:val="20"/>
        </w:rPr>
        <w:t xml:space="preserve"> in section 138(1) of the Electoral Act, 2010 (as amended)</w:t>
      </w:r>
      <w:r w:rsidR="005D2BDF">
        <w:rPr>
          <w:rFonts w:ascii="Trebuchet MS" w:hAnsi="Trebuchet MS"/>
          <w:spacing w:val="20"/>
        </w:rPr>
        <w:t xml:space="preserve"> by which an election may be questioned</w:t>
      </w:r>
      <w:r>
        <w:rPr>
          <w:rFonts w:ascii="Trebuchet MS" w:hAnsi="Trebuchet MS"/>
          <w:spacing w:val="20"/>
        </w:rPr>
        <w:t xml:space="preserve"> are virtually the same grounds upon which an election may be questioned before the Local Government Election Tribunal of Lagos State.</w:t>
      </w:r>
      <w:r>
        <w:rPr>
          <w:rStyle w:val="FootnoteReference"/>
          <w:rFonts w:ascii="Trebuchet MS" w:hAnsi="Trebuchet MS"/>
          <w:spacing w:val="20"/>
        </w:rPr>
        <w:footnoteReference w:id="71"/>
      </w:r>
    </w:p>
    <w:p w14:paraId="59DA67F4" w14:textId="77777777" w:rsidR="0008164A" w:rsidRDefault="0008164A" w:rsidP="00E47BA8">
      <w:pPr>
        <w:spacing w:line="480" w:lineRule="auto"/>
        <w:contextualSpacing/>
        <w:jc w:val="both"/>
        <w:rPr>
          <w:rFonts w:ascii="Trebuchet MS" w:hAnsi="Trebuchet MS"/>
          <w:spacing w:val="20"/>
        </w:rPr>
      </w:pPr>
    </w:p>
    <w:p w14:paraId="01E4F771" w14:textId="313D7804" w:rsidR="00550A34" w:rsidRDefault="0077343B" w:rsidP="00E47BA8">
      <w:pPr>
        <w:spacing w:line="480" w:lineRule="auto"/>
        <w:contextualSpacing/>
        <w:jc w:val="both"/>
        <w:rPr>
          <w:rFonts w:ascii="Trebuchet MS" w:hAnsi="Trebuchet MS"/>
          <w:spacing w:val="20"/>
        </w:rPr>
      </w:pPr>
      <w:r>
        <w:rPr>
          <w:rFonts w:ascii="Trebuchet MS" w:hAnsi="Trebuchet MS"/>
          <w:spacing w:val="20"/>
        </w:rPr>
        <w:t>It should be</w:t>
      </w:r>
      <w:r w:rsidR="00F735FE">
        <w:rPr>
          <w:rFonts w:ascii="Trebuchet MS" w:hAnsi="Trebuchet MS"/>
          <w:spacing w:val="20"/>
        </w:rPr>
        <w:t xml:space="preserve"> noted that </w:t>
      </w:r>
      <w:r w:rsidR="00D746D3">
        <w:rPr>
          <w:rFonts w:ascii="Trebuchet MS" w:hAnsi="Trebuchet MS"/>
          <w:spacing w:val="20"/>
        </w:rPr>
        <w:t>except for ground (d) (i.e. that the petitioner or its candidate was validly nominated but was unlawfully excluded from the election) which cannot be merged or combined with any other ground</w:t>
      </w:r>
      <w:r w:rsidR="007F4D65">
        <w:rPr>
          <w:rStyle w:val="FootnoteReference"/>
          <w:rFonts w:ascii="Trebuchet MS" w:hAnsi="Trebuchet MS"/>
          <w:spacing w:val="20"/>
        </w:rPr>
        <w:footnoteReference w:id="72"/>
      </w:r>
      <w:r w:rsidR="00D746D3">
        <w:rPr>
          <w:rFonts w:ascii="Trebuchet MS" w:hAnsi="Trebuchet MS"/>
          <w:spacing w:val="20"/>
        </w:rPr>
        <w:t xml:space="preserve">, an election petition may be questioned with a combination of </w:t>
      </w:r>
      <w:r w:rsidR="00F735FE">
        <w:rPr>
          <w:rFonts w:ascii="Trebuchet MS" w:hAnsi="Trebuchet MS"/>
          <w:spacing w:val="20"/>
        </w:rPr>
        <w:t>grounds (a)</w:t>
      </w:r>
      <w:r w:rsidR="00D746D3">
        <w:rPr>
          <w:rFonts w:ascii="Trebuchet MS" w:hAnsi="Trebuchet MS"/>
          <w:spacing w:val="20"/>
        </w:rPr>
        <w:t>, (b) and (c) of section 138(1) of the Electoral Act, 2010.</w:t>
      </w:r>
    </w:p>
    <w:p w14:paraId="55447BED" w14:textId="77777777" w:rsidR="009853B0" w:rsidRPr="00AD23B6" w:rsidRDefault="009853B0" w:rsidP="00E47BA8">
      <w:pPr>
        <w:spacing w:line="480" w:lineRule="auto"/>
        <w:contextualSpacing/>
        <w:jc w:val="both"/>
        <w:rPr>
          <w:rFonts w:ascii="Trebuchet MS" w:hAnsi="Trebuchet MS"/>
          <w:spacing w:val="20"/>
          <w:sz w:val="18"/>
        </w:rPr>
      </w:pPr>
    </w:p>
    <w:p w14:paraId="5F34931B" w14:textId="347C1B48" w:rsidR="00D636CC" w:rsidRDefault="00D636CC" w:rsidP="00E47BA8">
      <w:pPr>
        <w:spacing w:line="480" w:lineRule="auto"/>
        <w:contextualSpacing/>
        <w:jc w:val="both"/>
        <w:rPr>
          <w:rFonts w:ascii="Trebuchet MS" w:hAnsi="Trebuchet MS"/>
          <w:spacing w:val="20"/>
        </w:rPr>
      </w:pPr>
      <w:r>
        <w:rPr>
          <w:rFonts w:ascii="Trebuchet MS" w:hAnsi="Trebuchet MS"/>
          <w:spacing w:val="20"/>
        </w:rPr>
        <w:t>An election petition shall contain the following:</w:t>
      </w:r>
    </w:p>
    <w:p w14:paraId="7EFC6A04" w14:textId="716E5094" w:rsidR="00D636CC" w:rsidRPr="00D636CC" w:rsidRDefault="00D636CC" w:rsidP="00E47BA8">
      <w:pPr>
        <w:pStyle w:val="ListParagraph"/>
        <w:numPr>
          <w:ilvl w:val="0"/>
          <w:numId w:val="12"/>
        </w:numPr>
        <w:spacing w:line="480" w:lineRule="auto"/>
        <w:jc w:val="both"/>
        <w:rPr>
          <w:rFonts w:ascii="Trebuchet MS" w:hAnsi="Trebuchet MS"/>
          <w:spacing w:val="20"/>
        </w:rPr>
      </w:pPr>
      <w:r w:rsidRPr="00D636CC">
        <w:rPr>
          <w:rFonts w:ascii="Trebuchet MS" w:hAnsi="Trebuchet MS"/>
          <w:spacing w:val="20"/>
        </w:rPr>
        <w:t>specify the parties interested in the election</w:t>
      </w:r>
      <w:r>
        <w:rPr>
          <w:rFonts w:ascii="Trebuchet MS" w:hAnsi="Trebuchet MS"/>
          <w:spacing w:val="20"/>
        </w:rPr>
        <w:t xml:space="preserve"> petition.</w:t>
      </w:r>
    </w:p>
    <w:p w14:paraId="785D6A94" w14:textId="0FC27D11" w:rsidR="00D636CC" w:rsidRDefault="00D636CC" w:rsidP="00E47BA8">
      <w:pPr>
        <w:pStyle w:val="ListParagraph"/>
        <w:numPr>
          <w:ilvl w:val="0"/>
          <w:numId w:val="12"/>
        </w:numPr>
        <w:spacing w:line="480" w:lineRule="auto"/>
        <w:jc w:val="both"/>
        <w:rPr>
          <w:rFonts w:ascii="Trebuchet MS" w:hAnsi="Trebuchet MS"/>
          <w:spacing w:val="20"/>
        </w:rPr>
      </w:pPr>
      <w:r>
        <w:rPr>
          <w:rFonts w:ascii="Trebuchet MS" w:hAnsi="Trebuchet MS"/>
          <w:spacing w:val="20"/>
        </w:rPr>
        <w:t>Specify the right of the petitioner to present the election petition.</w:t>
      </w:r>
    </w:p>
    <w:p w14:paraId="3B7EEFCE" w14:textId="09BE3948" w:rsidR="00D636CC" w:rsidRDefault="00D636CC" w:rsidP="00E47BA8">
      <w:pPr>
        <w:pStyle w:val="ListParagraph"/>
        <w:numPr>
          <w:ilvl w:val="0"/>
          <w:numId w:val="12"/>
        </w:numPr>
        <w:spacing w:line="480" w:lineRule="auto"/>
        <w:jc w:val="both"/>
        <w:rPr>
          <w:rFonts w:ascii="Trebuchet MS" w:hAnsi="Trebuchet MS"/>
          <w:spacing w:val="20"/>
        </w:rPr>
      </w:pPr>
      <w:r>
        <w:rPr>
          <w:rFonts w:ascii="Trebuchet MS" w:hAnsi="Trebuchet MS"/>
          <w:spacing w:val="20"/>
        </w:rPr>
        <w:t>State the holding of the election, the scores of the candidates and the person returned as the winner of the election.</w:t>
      </w:r>
    </w:p>
    <w:p w14:paraId="3BF6E50F" w14:textId="4F92C5EE" w:rsidR="00D636CC" w:rsidRDefault="00D636CC" w:rsidP="00E47BA8">
      <w:pPr>
        <w:pStyle w:val="ListParagraph"/>
        <w:numPr>
          <w:ilvl w:val="0"/>
          <w:numId w:val="12"/>
        </w:numPr>
        <w:spacing w:line="480" w:lineRule="auto"/>
        <w:jc w:val="both"/>
        <w:rPr>
          <w:rFonts w:ascii="Trebuchet MS" w:hAnsi="Trebuchet MS"/>
          <w:spacing w:val="20"/>
        </w:rPr>
      </w:pPr>
      <w:r>
        <w:rPr>
          <w:rFonts w:ascii="Trebuchet MS" w:hAnsi="Trebuchet MS"/>
          <w:spacing w:val="20"/>
        </w:rPr>
        <w:t>State clearly the facts of the election petition and the grounds or grounds on which the petition is based and the relief sought by the petitioner.</w:t>
      </w:r>
      <w:r>
        <w:rPr>
          <w:rStyle w:val="FootnoteReference"/>
          <w:rFonts w:ascii="Trebuchet MS" w:hAnsi="Trebuchet MS"/>
          <w:spacing w:val="20"/>
        </w:rPr>
        <w:footnoteReference w:id="73"/>
      </w:r>
    </w:p>
    <w:p w14:paraId="1198184C" w14:textId="77777777" w:rsidR="00F77A18" w:rsidRDefault="00F77A18" w:rsidP="00E47BA8">
      <w:pPr>
        <w:spacing w:line="480" w:lineRule="auto"/>
        <w:contextualSpacing/>
        <w:jc w:val="both"/>
        <w:rPr>
          <w:rFonts w:ascii="Trebuchet MS" w:hAnsi="Trebuchet MS"/>
          <w:spacing w:val="20"/>
        </w:rPr>
      </w:pPr>
    </w:p>
    <w:p w14:paraId="0C196902" w14:textId="34C8ACC0" w:rsidR="00B362B6" w:rsidRDefault="00B362B6" w:rsidP="00E47BA8">
      <w:pPr>
        <w:spacing w:line="480" w:lineRule="auto"/>
        <w:contextualSpacing/>
        <w:jc w:val="both"/>
        <w:rPr>
          <w:rFonts w:ascii="Trebuchet MS" w:hAnsi="Trebuchet MS"/>
          <w:spacing w:val="20"/>
        </w:rPr>
      </w:pPr>
      <w:r>
        <w:rPr>
          <w:rFonts w:ascii="Trebuchet MS" w:hAnsi="Trebuchet MS"/>
          <w:spacing w:val="20"/>
        </w:rPr>
        <w:t>An election petition shall be filed with the following</w:t>
      </w:r>
      <w:r w:rsidR="00F77A18">
        <w:rPr>
          <w:rFonts w:ascii="Trebuchet MS" w:hAnsi="Trebuchet MS"/>
          <w:spacing w:val="20"/>
        </w:rPr>
        <w:t>:</w:t>
      </w:r>
    </w:p>
    <w:p w14:paraId="12E8C739" w14:textId="6805B3F9" w:rsidR="00F77A18" w:rsidRPr="00F77A18" w:rsidRDefault="00F77A18" w:rsidP="00E47BA8">
      <w:pPr>
        <w:pStyle w:val="ListParagraph"/>
        <w:numPr>
          <w:ilvl w:val="0"/>
          <w:numId w:val="13"/>
        </w:numPr>
        <w:spacing w:line="480" w:lineRule="auto"/>
        <w:jc w:val="both"/>
        <w:rPr>
          <w:rFonts w:ascii="Trebuchet MS" w:hAnsi="Trebuchet MS"/>
          <w:spacing w:val="20"/>
        </w:rPr>
      </w:pPr>
      <w:r w:rsidRPr="00F77A18">
        <w:rPr>
          <w:rFonts w:ascii="Trebuchet MS" w:hAnsi="Trebuchet MS"/>
          <w:spacing w:val="20"/>
        </w:rPr>
        <w:t>a list of witnesses that the petitioner intends t</w:t>
      </w:r>
      <w:r w:rsidR="00A14732">
        <w:rPr>
          <w:rFonts w:ascii="Trebuchet MS" w:hAnsi="Trebuchet MS"/>
          <w:spacing w:val="20"/>
        </w:rPr>
        <w:t>o call in proof of the petition,</w:t>
      </w:r>
    </w:p>
    <w:p w14:paraId="072F7E3F" w14:textId="03DCAEF6" w:rsidR="00F77A18" w:rsidRDefault="00F77A18" w:rsidP="00E47BA8">
      <w:pPr>
        <w:pStyle w:val="ListParagraph"/>
        <w:numPr>
          <w:ilvl w:val="0"/>
          <w:numId w:val="13"/>
        </w:numPr>
        <w:spacing w:line="480" w:lineRule="auto"/>
        <w:jc w:val="both"/>
        <w:rPr>
          <w:rFonts w:ascii="Trebuchet MS" w:hAnsi="Trebuchet MS"/>
          <w:spacing w:val="20"/>
        </w:rPr>
      </w:pPr>
      <w:r>
        <w:rPr>
          <w:rFonts w:ascii="Trebuchet MS" w:hAnsi="Trebuchet MS"/>
          <w:spacing w:val="20"/>
        </w:rPr>
        <w:t>Written statements on oath of the witnesses</w:t>
      </w:r>
      <w:r w:rsidR="00A14732">
        <w:rPr>
          <w:rFonts w:ascii="Trebuchet MS" w:hAnsi="Trebuchet MS"/>
          <w:spacing w:val="20"/>
        </w:rPr>
        <w:t>, and</w:t>
      </w:r>
    </w:p>
    <w:p w14:paraId="3DD63E09" w14:textId="216EF9A2" w:rsidR="00A14732" w:rsidRPr="00F77A18" w:rsidRDefault="00A14732" w:rsidP="00E47BA8">
      <w:pPr>
        <w:pStyle w:val="ListParagraph"/>
        <w:numPr>
          <w:ilvl w:val="0"/>
          <w:numId w:val="13"/>
        </w:numPr>
        <w:spacing w:line="480" w:lineRule="auto"/>
        <w:jc w:val="both"/>
        <w:rPr>
          <w:rFonts w:ascii="Trebuchet MS" w:hAnsi="Trebuchet MS"/>
          <w:spacing w:val="20"/>
        </w:rPr>
      </w:pPr>
      <w:r>
        <w:rPr>
          <w:rFonts w:ascii="Trebuchet MS" w:hAnsi="Trebuchet MS"/>
          <w:spacing w:val="20"/>
        </w:rPr>
        <w:t>Copies or list of every document to be relied on at the hearing of the petition.</w:t>
      </w:r>
      <w:r>
        <w:rPr>
          <w:rStyle w:val="FootnoteReference"/>
          <w:rFonts w:ascii="Trebuchet MS" w:hAnsi="Trebuchet MS"/>
          <w:spacing w:val="20"/>
        </w:rPr>
        <w:footnoteReference w:id="74"/>
      </w:r>
    </w:p>
    <w:p w14:paraId="692BF448" w14:textId="77777777" w:rsidR="00B16419" w:rsidRDefault="00B16419" w:rsidP="00E47BA8">
      <w:pPr>
        <w:spacing w:line="480" w:lineRule="auto"/>
        <w:contextualSpacing/>
        <w:jc w:val="both"/>
        <w:rPr>
          <w:rFonts w:ascii="Trebuchet MS" w:hAnsi="Trebuchet MS"/>
          <w:spacing w:val="20"/>
        </w:rPr>
      </w:pPr>
    </w:p>
    <w:p w14:paraId="30B06E86" w14:textId="1DE68A1C" w:rsidR="002B55DC" w:rsidRDefault="00A14732" w:rsidP="00E47BA8">
      <w:pPr>
        <w:spacing w:line="480" w:lineRule="auto"/>
        <w:contextualSpacing/>
        <w:jc w:val="both"/>
        <w:rPr>
          <w:rFonts w:ascii="Trebuchet MS" w:hAnsi="Trebuchet MS"/>
          <w:spacing w:val="20"/>
        </w:rPr>
      </w:pPr>
      <w:r>
        <w:rPr>
          <w:rFonts w:ascii="Trebuchet MS" w:hAnsi="Trebuchet MS"/>
          <w:spacing w:val="20"/>
        </w:rPr>
        <w:t xml:space="preserve">Any petition which is not filed with the above listed documents shall not </w:t>
      </w:r>
      <w:r w:rsidR="00B16419">
        <w:rPr>
          <w:rFonts w:ascii="Trebuchet MS" w:hAnsi="Trebuchet MS"/>
          <w:spacing w:val="20"/>
        </w:rPr>
        <w:t>be accepted for filing by the s</w:t>
      </w:r>
      <w:r>
        <w:rPr>
          <w:rFonts w:ascii="Trebuchet MS" w:hAnsi="Trebuchet MS"/>
          <w:spacing w:val="20"/>
        </w:rPr>
        <w:t>ecretary</w:t>
      </w:r>
      <w:r w:rsidR="00B16419">
        <w:rPr>
          <w:rStyle w:val="FootnoteReference"/>
          <w:rFonts w:ascii="Trebuchet MS" w:hAnsi="Trebuchet MS"/>
          <w:spacing w:val="20"/>
        </w:rPr>
        <w:footnoteReference w:id="75"/>
      </w:r>
      <w:r w:rsidR="00766808">
        <w:rPr>
          <w:rFonts w:ascii="Trebuchet MS" w:hAnsi="Trebuchet MS"/>
          <w:spacing w:val="20"/>
        </w:rPr>
        <w:t xml:space="preserve"> and where the secretary accepts same for filing, a respondent may file an objection that the petition is not competent on the ground of failure to accompany</w:t>
      </w:r>
      <w:r w:rsidR="000A7391">
        <w:rPr>
          <w:rFonts w:ascii="Trebuchet MS" w:hAnsi="Trebuchet MS"/>
          <w:spacing w:val="20"/>
        </w:rPr>
        <w:t xml:space="preserve"> same with the documents listed above.</w:t>
      </w:r>
      <w:r w:rsidR="002B55DC">
        <w:rPr>
          <w:rFonts w:ascii="Trebuchet MS" w:hAnsi="Trebuchet MS"/>
          <w:spacing w:val="20"/>
        </w:rPr>
        <w:t xml:space="preserve"> </w:t>
      </w:r>
    </w:p>
    <w:p w14:paraId="4883668A" w14:textId="77777777" w:rsidR="009A59AA" w:rsidRPr="00CC5FAC" w:rsidRDefault="009A59AA" w:rsidP="00E47BA8">
      <w:pPr>
        <w:spacing w:line="480" w:lineRule="auto"/>
        <w:contextualSpacing/>
        <w:jc w:val="both"/>
        <w:rPr>
          <w:rFonts w:ascii="Trebuchet MS" w:hAnsi="Trebuchet MS"/>
          <w:spacing w:val="20"/>
        </w:rPr>
      </w:pPr>
    </w:p>
    <w:p w14:paraId="01CE15D7" w14:textId="79CF70FB" w:rsidR="00F735FE" w:rsidRDefault="00B362B6" w:rsidP="00E47BA8">
      <w:pPr>
        <w:spacing w:line="480" w:lineRule="auto"/>
        <w:contextualSpacing/>
        <w:jc w:val="both"/>
        <w:rPr>
          <w:rFonts w:ascii="Trebuchet MS" w:hAnsi="Trebuchet MS"/>
          <w:spacing w:val="20"/>
        </w:rPr>
      </w:pPr>
      <w:r>
        <w:rPr>
          <w:rFonts w:ascii="Trebuchet MS" w:hAnsi="Trebuchet MS"/>
          <w:spacing w:val="20"/>
        </w:rPr>
        <w:t>Prior to the Electoral Act of 2002,</w:t>
      </w:r>
      <w:r w:rsidR="00D556C2">
        <w:rPr>
          <w:rFonts w:ascii="Trebuchet MS" w:hAnsi="Trebuchet MS"/>
          <w:spacing w:val="20"/>
        </w:rPr>
        <w:t xml:space="preserve"> a petitioner is only expected to </w:t>
      </w:r>
      <w:r w:rsidR="002B4BE6">
        <w:rPr>
          <w:rFonts w:ascii="Trebuchet MS" w:hAnsi="Trebuchet MS"/>
          <w:spacing w:val="20"/>
        </w:rPr>
        <w:t xml:space="preserve">file a petition without </w:t>
      </w:r>
      <w:r w:rsidR="003D35CC">
        <w:rPr>
          <w:rFonts w:ascii="Trebuchet MS" w:hAnsi="Trebuchet MS"/>
          <w:spacing w:val="20"/>
        </w:rPr>
        <w:t>accompanying</w:t>
      </w:r>
      <w:r w:rsidR="00E94C15">
        <w:rPr>
          <w:rFonts w:ascii="Trebuchet MS" w:hAnsi="Trebuchet MS"/>
          <w:spacing w:val="20"/>
        </w:rPr>
        <w:t xml:space="preserve"> </w:t>
      </w:r>
      <w:r w:rsidR="00C02A08">
        <w:rPr>
          <w:rFonts w:ascii="Trebuchet MS" w:hAnsi="Trebuchet MS"/>
          <w:spacing w:val="20"/>
        </w:rPr>
        <w:t xml:space="preserve">same </w:t>
      </w:r>
      <w:r w:rsidR="003D35CC">
        <w:rPr>
          <w:rFonts w:ascii="Trebuchet MS" w:hAnsi="Trebuchet MS"/>
          <w:spacing w:val="20"/>
        </w:rPr>
        <w:t xml:space="preserve">with </w:t>
      </w:r>
      <w:r w:rsidR="00DF1F2D">
        <w:rPr>
          <w:rFonts w:ascii="Trebuchet MS" w:hAnsi="Trebuchet MS"/>
          <w:spacing w:val="20"/>
        </w:rPr>
        <w:t xml:space="preserve">the </w:t>
      </w:r>
      <w:r w:rsidR="00E94C15">
        <w:rPr>
          <w:rFonts w:ascii="Trebuchet MS" w:hAnsi="Trebuchet MS"/>
          <w:spacing w:val="20"/>
        </w:rPr>
        <w:t>witness statement</w:t>
      </w:r>
      <w:r w:rsidR="00DF1F2D">
        <w:rPr>
          <w:rFonts w:ascii="Trebuchet MS" w:hAnsi="Trebuchet MS"/>
          <w:spacing w:val="20"/>
        </w:rPr>
        <w:t>s of the witnesses.</w:t>
      </w:r>
      <w:r w:rsidR="00646612">
        <w:rPr>
          <w:rFonts w:ascii="Trebuchet MS" w:hAnsi="Trebuchet MS"/>
          <w:spacing w:val="20"/>
        </w:rPr>
        <w:t xml:space="preserve"> The presentation of petition with witness statements of witnesses </w:t>
      </w:r>
      <w:r w:rsidR="00A527F6">
        <w:rPr>
          <w:rFonts w:ascii="Trebuchet MS" w:hAnsi="Trebuchet MS"/>
          <w:spacing w:val="20"/>
        </w:rPr>
        <w:t xml:space="preserve">commenced </w:t>
      </w:r>
      <w:r w:rsidR="004705E7">
        <w:rPr>
          <w:rFonts w:ascii="Trebuchet MS" w:hAnsi="Trebuchet MS"/>
          <w:spacing w:val="20"/>
        </w:rPr>
        <w:t xml:space="preserve">in 2007 </w:t>
      </w:r>
      <w:r w:rsidR="00A527F6">
        <w:rPr>
          <w:rFonts w:ascii="Trebuchet MS" w:hAnsi="Trebuchet MS"/>
          <w:spacing w:val="20"/>
        </w:rPr>
        <w:t xml:space="preserve">by virtue of Election Petition </w:t>
      </w:r>
      <w:r w:rsidR="00A97EDE">
        <w:rPr>
          <w:rFonts w:ascii="Trebuchet MS" w:hAnsi="Trebuchet MS"/>
          <w:spacing w:val="20"/>
        </w:rPr>
        <w:t xml:space="preserve">and Court </w:t>
      </w:r>
      <w:r w:rsidR="00A527F6">
        <w:rPr>
          <w:rFonts w:ascii="Trebuchet MS" w:hAnsi="Trebuchet MS"/>
          <w:spacing w:val="20"/>
        </w:rPr>
        <w:t>Practice Direction</w:t>
      </w:r>
      <w:r w:rsidR="00A97EDE">
        <w:rPr>
          <w:rFonts w:ascii="Trebuchet MS" w:hAnsi="Trebuchet MS"/>
          <w:spacing w:val="20"/>
        </w:rPr>
        <w:t xml:space="preserve"> No. 2</w:t>
      </w:r>
      <w:r w:rsidR="00A527F6">
        <w:rPr>
          <w:rFonts w:ascii="Trebuchet MS" w:hAnsi="Trebuchet MS"/>
          <w:spacing w:val="20"/>
        </w:rPr>
        <w:t xml:space="preserve"> of 2007</w:t>
      </w:r>
      <w:r w:rsidR="00D76EF8">
        <w:rPr>
          <w:rStyle w:val="FootnoteReference"/>
          <w:rFonts w:ascii="Trebuchet MS" w:hAnsi="Trebuchet MS"/>
          <w:spacing w:val="20"/>
        </w:rPr>
        <w:footnoteReference w:id="76"/>
      </w:r>
      <w:r w:rsidR="00441B4E">
        <w:rPr>
          <w:rFonts w:ascii="Trebuchet MS" w:hAnsi="Trebuchet MS"/>
          <w:spacing w:val="20"/>
        </w:rPr>
        <w:t xml:space="preserve"> </w:t>
      </w:r>
      <w:r w:rsidR="006D6DAD">
        <w:rPr>
          <w:rFonts w:ascii="Trebuchet MS" w:hAnsi="Trebuchet MS"/>
          <w:spacing w:val="20"/>
        </w:rPr>
        <w:t xml:space="preserve">The Electoral Act, 2010 has now codified </w:t>
      </w:r>
      <w:r w:rsidR="00FF756B">
        <w:rPr>
          <w:rFonts w:ascii="Trebuchet MS" w:hAnsi="Trebuchet MS"/>
          <w:spacing w:val="20"/>
        </w:rPr>
        <w:t>it</w:t>
      </w:r>
      <w:r w:rsidR="006D6DAD">
        <w:rPr>
          <w:rFonts w:ascii="Trebuchet MS" w:hAnsi="Trebuchet MS"/>
          <w:spacing w:val="20"/>
        </w:rPr>
        <w:t xml:space="preserve"> by including same in the First Schedule to the Electoral Act, 2010</w:t>
      </w:r>
      <w:r w:rsidR="00FF756B">
        <w:rPr>
          <w:rFonts w:ascii="Trebuchet MS" w:hAnsi="Trebuchet MS"/>
          <w:spacing w:val="20"/>
        </w:rPr>
        <w:t>.</w:t>
      </w:r>
    </w:p>
    <w:p w14:paraId="0D5D3E79" w14:textId="77777777" w:rsidR="009A59AA" w:rsidRDefault="009A59AA" w:rsidP="00E47BA8">
      <w:pPr>
        <w:spacing w:line="480" w:lineRule="auto"/>
        <w:contextualSpacing/>
        <w:jc w:val="both"/>
        <w:rPr>
          <w:rFonts w:ascii="Trebuchet MS" w:hAnsi="Trebuchet MS"/>
          <w:spacing w:val="20"/>
        </w:rPr>
      </w:pPr>
    </w:p>
    <w:p w14:paraId="23237DE2" w14:textId="09312D9E" w:rsidR="009A59AA" w:rsidRDefault="009A59AA" w:rsidP="00E47BA8">
      <w:pPr>
        <w:spacing w:line="480" w:lineRule="auto"/>
        <w:contextualSpacing/>
        <w:jc w:val="both"/>
        <w:rPr>
          <w:rFonts w:ascii="Trebuchet MS" w:hAnsi="Trebuchet MS"/>
          <w:spacing w:val="20"/>
        </w:rPr>
      </w:pPr>
      <w:r>
        <w:rPr>
          <w:rFonts w:ascii="Trebuchet MS" w:hAnsi="Trebuchet MS"/>
          <w:spacing w:val="20"/>
        </w:rPr>
        <w:t xml:space="preserve">It is pertinent to note that under the Local Government Election Tribunal Law of Lagos State, an election petition is not required to be filed with list of witnesses, written statement on oath and copies or list of documents as mandated under the Electoral Act, 2010 (as amended) but in order to avoid any preliminary objection from the Respondent(s) on this, it is advised that an election petition be accompanied with list of witnesses, written statement on oath and copies or list of documents since by virtue of section 61 of the Local Government Election Tribunal Law of Lagos State: </w:t>
      </w:r>
    </w:p>
    <w:p w14:paraId="23A100A6" w14:textId="77777777" w:rsidR="009A59AA" w:rsidRDefault="009A59AA" w:rsidP="00E47BA8">
      <w:pPr>
        <w:pStyle w:val="ListParagraph"/>
        <w:numPr>
          <w:ilvl w:val="0"/>
          <w:numId w:val="18"/>
        </w:numPr>
        <w:spacing w:line="480" w:lineRule="auto"/>
        <w:jc w:val="both"/>
        <w:rPr>
          <w:rFonts w:ascii="Trebuchet MS" w:hAnsi="Trebuchet MS"/>
          <w:spacing w:val="20"/>
        </w:rPr>
      </w:pPr>
      <w:r w:rsidRPr="008B2B01">
        <w:rPr>
          <w:rFonts w:ascii="Trebuchet MS" w:hAnsi="Trebuchet MS"/>
          <w:spacing w:val="20"/>
        </w:rPr>
        <w:t>the practice and procedure of the Local Government Election Tribunal are required to be assimilated as nearly as may be to the practice and procedure of the High Court in the exercise of Civil Jurisdiction</w:t>
      </w:r>
      <w:r>
        <w:rPr>
          <w:rFonts w:ascii="Trebuchet MS" w:hAnsi="Trebuchet MS"/>
          <w:spacing w:val="20"/>
        </w:rPr>
        <w:t>,</w:t>
      </w:r>
      <w:r w:rsidRPr="008B2B01">
        <w:rPr>
          <w:rFonts w:ascii="Trebuchet MS" w:hAnsi="Trebuchet MS"/>
          <w:spacing w:val="20"/>
        </w:rPr>
        <w:t xml:space="preserve"> </w:t>
      </w:r>
    </w:p>
    <w:p w14:paraId="72A2A6F6" w14:textId="77777777" w:rsidR="009A59AA" w:rsidRDefault="009A59AA" w:rsidP="00E47BA8">
      <w:pPr>
        <w:pStyle w:val="ListParagraph"/>
        <w:numPr>
          <w:ilvl w:val="0"/>
          <w:numId w:val="18"/>
        </w:numPr>
        <w:spacing w:line="480" w:lineRule="auto"/>
        <w:jc w:val="both"/>
        <w:rPr>
          <w:rFonts w:ascii="Trebuchet MS" w:hAnsi="Trebuchet MS"/>
          <w:spacing w:val="20"/>
        </w:rPr>
      </w:pPr>
      <w:r w:rsidRPr="008B2B01">
        <w:rPr>
          <w:rFonts w:ascii="Trebuchet MS" w:hAnsi="Trebuchet MS"/>
          <w:spacing w:val="20"/>
        </w:rPr>
        <w:t xml:space="preserve">the </w:t>
      </w:r>
      <w:r>
        <w:rPr>
          <w:rFonts w:ascii="Trebuchet MS" w:hAnsi="Trebuchet MS"/>
          <w:spacing w:val="20"/>
        </w:rPr>
        <w:t>Civil Procedure Rules of Lagos State shall apply with such modifications as may be necessary to render them conveniently applicable and</w:t>
      </w:r>
    </w:p>
    <w:p w14:paraId="64EC1038" w14:textId="77777777" w:rsidR="009A59AA" w:rsidRDefault="009A59AA" w:rsidP="00E47BA8">
      <w:pPr>
        <w:pStyle w:val="ListParagraph"/>
        <w:numPr>
          <w:ilvl w:val="0"/>
          <w:numId w:val="18"/>
        </w:numPr>
        <w:spacing w:line="480" w:lineRule="auto"/>
        <w:jc w:val="both"/>
        <w:rPr>
          <w:rFonts w:ascii="Trebuchet MS" w:hAnsi="Trebuchet MS"/>
          <w:spacing w:val="20"/>
        </w:rPr>
      </w:pPr>
      <w:r>
        <w:rPr>
          <w:rFonts w:ascii="Trebuchet MS" w:hAnsi="Trebuchet MS"/>
          <w:spacing w:val="20"/>
        </w:rPr>
        <w:t>regard should be had to the need for urgency on electoral matters.</w:t>
      </w:r>
    </w:p>
    <w:p w14:paraId="4E6E6CE8" w14:textId="77777777" w:rsidR="009158C2" w:rsidRDefault="009158C2" w:rsidP="00E47BA8">
      <w:pPr>
        <w:spacing w:line="480" w:lineRule="auto"/>
        <w:contextualSpacing/>
        <w:jc w:val="both"/>
        <w:rPr>
          <w:rFonts w:ascii="Trebuchet MS" w:hAnsi="Trebuchet MS"/>
          <w:spacing w:val="20"/>
        </w:rPr>
      </w:pPr>
    </w:p>
    <w:p w14:paraId="4D3270F0" w14:textId="7D54DB51" w:rsidR="009A59AA" w:rsidRDefault="009A59AA" w:rsidP="00E47BA8">
      <w:pPr>
        <w:spacing w:line="480" w:lineRule="auto"/>
        <w:contextualSpacing/>
        <w:jc w:val="both"/>
        <w:rPr>
          <w:rFonts w:ascii="Trebuchet MS" w:hAnsi="Trebuchet MS"/>
          <w:spacing w:val="20"/>
        </w:rPr>
      </w:pPr>
      <w:r>
        <w:rPr>
          <w:rFonts w:ascii="Trebuchet MS" w:hAnsi="Trebuchet MS"/>
          <w:spacing w:val="20"/>
        </w:rPr>
        <w:t>From the above, it is therefore submitted that the applicability of the High Court of Lagos State (Civil Procedure) Rules 2012 to the practice and procedure of the Local Government Election Tribunal will require the petitioner to accompany his petition with list of witnesses, written statement on oath of his witnesses and copies or list of documents to be relied upon</w:t>
      </w:r>
      <w:r w:rsidR="009158C2">
        <w:rPr>
          <w:rFonts w:ascii="Trebuchet MS" w:hAnsi="Trebuchet MS"/>
          <w:spacing w:val="20"/>
        </w:rPr>
        <w:t xml:space="preserve"> since regard will be had to the need for urgency on electoral matters</w:t>
      </w:r>
      <w:r>
        <w:rPr>
          <w:rFonts w:ascii="Trebuchet MS" w:hAnsi="Trebuchet MS"/>
          <w:spacing w:val="20"/>
        </w:rPr>
        <w:t>.</w:t>
      </w:r>
    </w:p>
    <w:p w14:paraId="163C0B87" w14:textId="77777777" w:rsidR="00955E33" w:rsidRDefault="00955E33" w:rsidP="00E47BA8">
      <w:pPr>
        <w:spacing w:line="480" w:lineRule="auto"/>
        <w:contextualSpacing/>
        <w:jc w:val="both"/>
        <w:rPr>
          <w:rFonts w:ascii="Trebuchet MS" w:hAnsi="Trebuchet MS"/>
          <w:spacing w:val="20"/>
        </w:rPr>
      </w:pPr>
    </w:p>
    <w:p w14:paraId="1892E9A0" w14:textId="604CFC17" w:rsidR="00955E33" w:rsidRDefault="00955E33" w:rsidP="00E47BA8">
      <w:pPr>
        <w:spacing w:line="480" w:lineRule="auto"/>
        <w:contextualSpacing/>
        <w:jc w:val="both"/>
        <w:rPr>
          <w:rFonts w:ascii="Trebuchet MS" w:hAnsi="Trebuchet MS"/>
          <w:spacing w:val="20"/>
        </w:rPr>
      </w:pPr>
      <w:r>
        <w:rPr>
          <w:rFonts w:ascii="Trebuchet MS" w:hAnsi="Trebuchet MS"/>
          <w:spacing w:val="20"/>
        </w:rPr>
        <w:t>A petitioner is to pay security for cost at the time of presentation of his petition.</w:t>
      </w:r>
      <w:r>
        <w:rPr>
          <w:rStyle w:val="FootnoteReference"/>
          <w:rFonts w:ascii="Trebuchet MS" w:hAnsi="Trebuchet MS"/>
          <w:spacing w:val="20"/>
        </w:rPr>
        <w:footnoteReference w:id="77"/>
      </w:r>
    </w:p>
    <w:p w14:paraId="7977E4B3" w14:textId="77777777" w:rsidR="00B23CC1" w:rsidRDefault="00B23CC1" w:rsidP="00E47BA8">
      <w:pPr>
        <w:spacing w:line="480" w:lineRule="auto"/>
        <w:contextualSpacing/>
        <w:jc w:val="both"/>
        <w:rPr>
          <w:rFonts w:ascii="Trebuchet MS" w:hAnsi="Trebuchet MS"/>
          <w:spacing w:val="20"/>
        </w:rPr>
      </w:pPr>
    </w:p>
    <w:p w14:paraId="6E9D594B" w14:textId="304D1403" w:rsidR="008E10F4" w:rsidRDefault="00B23CC1" w:rsidP="00E47BA8">
      <w:pPr>
        <w:spacing w:line="480" w:lineRule="auto"/>
        <w:contextualSpacing/>
        <w:jc w:val="both"/>
        <w:rPr>
          <w:rFonts w:ascii="Trebuchet MS" w:hAnsi="Trebuchet MS"/>
          <w:spacing w:val="20"/>
        </w:rPr>
      </w:pPr>
      <w:r>
        <w:rPr>
          <w:rFonts w:ascii="Trebuchet MS" w:hAnsi="Trebuchet MS"/>
          <w:spacing w:val="20"/>
        </w:rPr>
        <w:t>Respondents shall within 14 days of service of the petition file their reply to the petition</w:t>
      </w:r>
      <w:r w:rsidR="009804D3">
        <w:rPr>
          <w:rFonts w:ascii="Trebuchet MS" w:hAnsi="Trebuchet MS"/>
          <w:spacing w:val="20"/>
        </w:rPr>
        <w:t>.</w:t>
      </w:r>
      <w:r w:rsidR="00951856">
        <w:rPr>
          <w:rStyle w:val="FootnoteReference"/>
          <w:rFonts w:ascii="Trebuchet MS" w:hAnsi="Trebuchet MS"/>
          <w:spacing w:val="20"/>
        </w:rPr>
        <w:footnoteReference w:id="78"/>
      </w:r>
      <w:r w:rsidR="009804D3">
        <w:rPr>
          <w:rFonts w:ascii="Trebuchet MS" w:hAnsi="Trebuchet MS"/>
          <w:spacing w:val="20"/>
        </w:rPr>
        <w:t xml:space="preserve"> It is significant to note that </w:t>
      </w:r>
      <w:r w:rsidR="00FF2BA2">
        <w:rPr>
          <w:rFonts w:ascii="Trebuchet MS" w:hAnsi="Trebuchet MS"/>
          <w:spacing w:val="20"/>
        </w:rPr>
        <w:t xml:space="preserve">unlike A Petitioner who is to accompany his petition with list of witnesses, witness statement and copies or list of documents, </w:t>
      </w:r>
      <w:r w:rsidR="009804D3">
        <w:rPr>
          <w:rFonts w:ascii="Trebuchet MS" w:hAnsi="Trebuchet MS"/>
          <w:spacing w:val="20"/>
        </w:rPr>
        <w:t>the Electoral Act, 2010 is silent on what a Reply to the Petit</w:t>
      </w:r>
      <w:r w:rsidR="00FF2BA2">
        <w:rPr>
          <w:rFonts w:ascii="Trebuchet MS" w:hAnsi="Trebuchet MS"/>
          <w:spacing w:val="20"/>
        </w:rPr>
        <w:t>ion should be accompanied with.</w:t>
      </w:r>
      <w:r w:rsidR="003148E2">
        <w:rPr>
          <w:rFonts w:ascii="Trebuchet MS" w:hAnsi="Trebuchet MS"/>
          <w:spacing w:val="20"/>
        </w:rPr>
        <w:t xml:space="preserve"> Although, to the best of ones knowledge</w:t>
      </w:r>
      <w:r w:rsidR="00AF7BB2">
        <w:rPr>
          <w:rFonts w:ascii="Trebuchet MS" w:hAnsi="Trebuchet MS"/>
          <w:spacing w:val="20"/>
        </w:rPr>
        <w:t>,</w:t>
      </w:r>
      <w:r w:rsidR="003148E2">
        <w:rPr>
          <w:rFonts w:ascii="Trebuchet MS" w:hAnsi="Trebuchet MS"/>
          <w:spacing w:val="20"/>
        </w:rPr>
        <w:t xml:space="preserve"> Replies filed against a Petition are usually accompanied with the</w:t>
      </w:r>
      <w:r w:rsidR="00AF7BB2">
        <w:rPr>
          <w:rFonts w:ascii="Trebuchet MS" w:hAnsi="Trebuchet MS"/>
          <w:spacing w:val="20"/>
        </w:rPr>
        <w:t>se</w:t>
      </w:r>
      <w:r w:rsidR="003148E2">
        <w:rPr>
          <w:rFonts w:ascii="Trebuchet MS" w:hAnsi="Trebuchet MS"/>
          <w:spacing w:val="20"/>
        </w:rPr>
        <w:t xml:space="preserve"> documents listed in paragraph 4(5) of the First Schedule to the Electoral Act, 2010</w:t>
      </w:r>
      <w:r w:rsidR="001F195D">
        <w:rPr>
          <w:rFonts w:ascii="Trebuchet MS" w:hAnsi="Trebuchet MS"/>
          <w:spacing w:val="20"/>
        </w:rPr>
        <w:t xml:space="preserve"> (as amended)</w:t>
      </w:r>
      <w:r w:rsidR="003148E2">
        <w:rPr>
          <w:rFonts w:ascii="Trebuchet MS" w:hAnsi="Trebuchet MS"/>
          <w:spacing w:val="20"/>
        </w:rPr>
        <w:t>, it is believed that the Electoral Act, 2010 requires</w:t>
      </w:r>
      <w:r w:rsidR="008E10F4">
        <w:rPr>
          <w:rFonts w:ascii="Trebuchet MS" w:hAnsi="Trebuchet MS"/>
          <w:spacing w:val="20"/>
        </w:rPr>
        <w:t xml:space="preserve"> some measure of amendment in this regard</w:t>
      </w:r>
      <w:r w:rsidR="003148E2">
        <w:rPr>
          <w:rFonts w:ascii="Trebuchet MS" w:hAnsi="Trebuchet MS"/>
          <w:spacing w:val="20"/>
        </w:rPr>
        <w:t xml:space="preserve"> to </w:t>
      </w:r>
      <w:r w:rsidR="00231288">
        <w:rPr>
          <w:rFonts w:ascii="Trebuchet MS" w:hAnsi="Trebuchet MS"/>
          <w:spacing w:val="20"/>
        </w:rPr>
        <w:t xml:space="preserve">state the documents a respondent is to accompany with his Reply to the Petition. </w:t>
      </w:r>
      <w:r w:rsidR="008E10F4">
        <w:rPr>
          <w:rFonts w:ascii="Trebuchet MS" w:hAnsi="Trebuchet MS"/>
          <w:spacing w:val="20"/>
        </w:rPr>
        <w:t>This is the frame work for the resolution of election disputes in Nigeria. How far this has succeeded in the attainment of the objective shall now be the pre occupation or object of the next segment.</w:t>
      </w:r>
    </w:p>
    <w:p w14:paraId="72A54C49" w14:textId="77777777" w:rsidR="008E10F4" w:rsidRDefault="008E10F4" w:rsidP="00E47BA8">
      <w:pPr>
        <w:spacing w:line="480" w:lineRule="auto"/>
        <w:contextualSpacing/>
        <w:jc w:val="both"/>
        <w:rPr>
          <w:rFonts w:ascii="Trebuchet MS" w:hAnsi="Trebuchet MS"/>
          <w:spacing w:val="20"/>
        </w:rPr>
      </w:pPr>
    </w:p>
    <w:p w14:paraId="63BCDAA0" w14:textId="4CDFC514" w:rsidR="00217C94" w:rsidRPr="009A3761" w:rsidRDefault="00AF5D41" w:rsidP="00E47BA8">
      <w:pPr>
        <w:spacing w:line="480" w:lineRule="auto"/>
        <w:contextualSpacing/>
        <w:jc w:val="both"/>
        <w:rPr>
          <w:rFonts w:ascii="Trebuchet MS" w:hAnsi="Trebuchet MS"/>
          <w:b/>
          <w:spacing w:val="20"/>
        </w:rPr>
      </w:pPr>
      <w:r w:rsidRPr="009A3761">
        <w:rPr>
          <w:rFonts w:ascii="Trebuchet MS" w:hAnsi="Trebuchet MS"/>
          <w:b/>
          <w:spacing w:val="20"/>
        </w:rPr>
        <w:t xml:space="preserve">Appraisal </w:t>
      </w:r>
      <w:r w:rsidR="00C22964">
        <w:rPr>
          <w:rFonts w:ascii="Trebuchet MS" w:hAnsi="Trebuchet MS"/>
          <w:b/>
          <w:spacing w:val="20"/>
        </w:rPr>
        <w:t>o</w:t>
      </w:r>
      <w:r w:rsidRPr="009A3761">
        <w:rPr>
          <w:rFonts w:ascii="Trebuchet MS" w:hAnsi="Trebuchet MS"/>
          <w:b/>
          <w:spacing w:val="20"/>
        </w:rPr>
        <w:t xml:space="preserve">f </w:t>
      </w:r>
      <w:r w:rsidR="00C22964">
        <w:rPr>
          <w:rFonts w:ascii="Trebuchet MS" w:hAnsi="Trebuchet MS"/>
          <w:b/>
          <w:spacing w:val="20"/>
        </w:rPr>
        <w:t>t</w:t>
      </w:r>
      <w:r w:rsidRPr="009A3761">
        <w:rPr>
          <w:rFonts w:ascii="Trebuchet MS" w:hAnsi="Trebuchet MS"/>
          <w:b/>
          <w:spacing w:val="20"/>
        </w:rPr>
        <w:t xml:space="preserve">he Operation </w:t>
      </w:r>
      <w:r w:rsidR="00C22964">
        <w:rPr>
          <w:rFonts w:ascii="Trebuchet MS" w:hAnsi="Trebuchet MS"/>
          <w:b/>
          <w:spacing w:val="20"/>
        </w:rPr>
        <w:t>o</w:t>
      </w:r>
      <w:r w:rsidRPr="009A3761">
        <w:rPr>
          <w:rFonts w:ascii="Trebuchet MS" w:hAnsi="Trebuchet MS"/>
          <w:b/>
          <w:spacing w:val="20"/>
        </w:rPr>
        <w:t xml:space="preserve">f </w:t>
      </w:r>
      <w:r w:rsidR="00C22964">
        <w:rPr>
          <w:rFonts w:ascii="Trebuchet MS" w:hAnsi="Trebuchet MS"/>
          <w:b/>
          <w:spacing w:val="20"/>
        </w:rPr>
        <w:t>t</w:t>
      </w:r>
      <w:r w:rsidRPr="009A3761">
        <w:rPr>
          <w:rFonts w:ascii="Trebuchet MS" w:hAnsi="Trebuchet MS"/>
          <w:b/>
          <w:spacing w:val="20"/>
        </w:rPr>
        <w:t>he Framework</w:t>
      </w:r>
    </w:p>
    <w:p w14:paraId="2DB6CE8C" w14:textId="522228C0" w:rsidR="00C96277" w:rsidRDefault="003A45AB" w:rsidP="00E47BA8">
      <w:pPr>
        <w:spacing w:line="480" w:lineRule="auto"/>
        <w:contextualSpacing/>
        <w:jc w:val="both"/>
        <w:rPr>
          <w:rFonts w:ascii="Trebuchet MS" w:hAnsi="Trebuchet MS"/>
          <w:spacing w:val="20"/>
        </w:rPr>
      </w:pPr>
      <w:r>
        <w:rPr>
          <w:rFonts w:ascii="Trebuchet MS" w:hAnsi="Trebuchet MS"/>
          <w:spacing w:val="20"/>
        </w:rPr>
        <w:t>The starting point will be an appraisal of the legal framework available to an aggrieved candidate</w:t>
      </w:r>
      <w:r w:rsidR="00E25446">
        <w:rPr>
          <w:rFonts w:ascii="Trebuchet MS" w:hAnsi="Trebuchet MS"/>
          <w:spacing w:val="20"/>
        </w:rPr>
        <w:t xml:space="preserve"> in a pre-election matter. </w:t>
      </w:r>
    </w:p>
    <w:p w14:paraId="04BBD26A" w14:textId="77777777" w:rsidR="00C96277" w:rsidRDefault="00C96277" w:rsidP="00E47BA8">
      <w:pPr>
        <w:spacing w:line="480" w:lineRule="auto"/>
        <w:contextualSpacing/>
        <w:jc w:val="both"/>
        <w:rPr>
          <w:rFonts w:ascii="Trebuchet MS" w:hAnsi="Trebuchet MS"/>
          <w:spacing w:val="20"/>
        </w:rPr>
      </w:pPr>
    </w:p>
    <w:p w14:paraId="02FE1817" w14:textId="591E915F" w:rsidR="003A45AB" w:rsidRDefault="00F52D72" w:rsidP="00E47BA8">
      <w:pPr>
        <w:spacing w:line="480" w:lineRule="auto"/>
        <w:contextualSpacing/>
        <w:jc w:val="both"/>
        <w:rPr>
          <w:rFonts w:ascii="Trebuchet MS" w:hAnsi="Trebuchet MS"/>
          <w:spacing w:val="20"/>
        </w:rPr>
      </w:pPr>
      <w:r>
        <w:rPr>
          <w:rFonts w:ascii="Trebuchet MS" w:hAnsi="Trebuchet MS"/>
          <w:spacing w:val="20"/>
        </w:rPr>
        <w:t>Where a person has a reasonable grounds to believe that an information given by a candidate in the affidavit or any document submitted to the Independent National Electoral Commission is false, the person may file a suit at the High Court of a State or Federal High Court seeking a declaration that the information contained in the affidavit or document is false</w:t>
      </w:r>
      <w:r>
        <w:rPr>
          <w:rStyle w:val="FootnoteReference"/>
          <w:rFonts w:ascii="Trebuchet MS" w:hAnsi="Trebuchet MS"/>
          <w:spacing w:val="20"/>
        </w:rPr>
        <w:footnoteReference w:id="79"/>
      </w:r>
      <w:r>
        <w:rPr>
          <w:rFonts w:ascii="Trebuchet MS" w:hAnsi="Trebuchet MS"/>
          <w:spacing w:val="20"/>
        </w:rPr>
        <w:t xml:space="preserve"> and where the Court determines that such an information contained in the affidavit or document is false, the court shall issue an order disqualifying the candidate from contesting the election.</w:t>
      </w:r>
      <w:r w:rsidR="00A91BAB">
        <w:rPr>
          <w:rStyle w:val="FootnoteReference"/>
          <w:rFonts w:ascii="Trebuchet MS" w:hAnsi="Trebuchet MS"/>
          <w:spacing w:val="20"/>
        </w:rPr>
        <w:footnoteReference w:id="80"/>
      </w:r>
    </w:p>
    <w:p w14:paraId="68EED510" w14:textId="77777777" w:rsidR="003A45AB" w:rsidRDefault="003A45AB" w:rsidP="00E47BA8">
      <w:pPr>
        <w:spacing w:line="480" w:lineRule="auto"/>
        <w:contextualSpacing/>
        <w:jc w:val="both"/>
        <w:rPr>
          <w:rFonts w:ascii="Trebuchet MS" w:hAnsi="Trebuchet MS"/>
          <w:spacing w:val="20"/>
        </w:rPr>
      </w:pPr>
    </w:p>
    <w:p w14:paraId="5C43D54C" w14:textId="3E6C0AC1" w:rsidR="00D25AD5" w:rsidRDefault="00D25AD5" w:rsidP="00E47BA8">
      <w:pPr>
        <w:spacing w:line="480" w:lineRule="auto"/>
        <w:contextualSpacing/>
        <w:jc w:val="both"/>
        <w:rPr>
          <w:rFonts w:ascii="Trebuchet MS" w:hAnsi="Trebuchet MS"/>
          <w:spacing w:val="20"/>
        </w:rPr>
      </w:pPr>
      <w:r>
        <w:rPr>
          <w:rFonts w:ascii="Trebuchet MS" w:hAnsi="Trebuchet MS"/>
          <w:spacing w:val="20"/>
        </w:rPr>
        <w:t>Similarly, an aspirant that complains that any of the provision of the Electoral Act and the guidelines of a political party has not been complied with in the selection or nomination of a candidate of a political party for election, may apply to the Federal High Court or State High Court of a State for redress.</w:t>
      </w:r>
      <w:r w:rsidR="008178A3">
        <w:rPr>
          <w:rStyle w:val="FootnoteReference"/>
          <w:rFonts w:ascii="Trebuchet MS" w:hAnsi="Trebuchet MS"/>
          <w:spacing w:val="20"/>
        </w:rPr>
        <w:footnoteReference w:id="81"/>
      </w:r>
    </w:p>
    <w:p w14:paraId="1D44B764" w14:textId="77777777" w:rsidR="00D25AD5" w:rsidRDefault="00D25AD5" w:rsidP="00E47BA8">
      <w:pPr>
        <w:spacing w:line="480" w:lineRule="auto"/>
        <w:contextualSpacing/>
        <w:jc w:val="both"/>
        <w:rPr>
          <w:rFonts w:ascii="Trebuchet MS" w:hAnsi="Trebuchet MS"/>
          <w:spacing w:val="20"/>
        </w:rPr>
      </w:pPr>
    </w:p>
    <w:p w14:paraId="3A40BD5E" w14:textId="7F66F97B" w:rsidR="008178A3" w:rsidRDefault="008178A3" w:rsidP="00E47BA8">
      <w:pPr>
        <w:spacing w:line="480" w:lineRule="auto"/>
        <w:contextualSpacing/>
        <w:jc w:val="both"/>
        <w:rPr>
          <w:rFonts w:ascii="Trebuchet MS" w:hAnsi="Trebuchet MS"/>
          <w:spacing w:val="20"/>
        </w:rPr>
      </w:pPr>
      <w:r>
        <w:rPr>
          <w:rFonts w:ascii="Trebuchet MS" w:hAnsi="Trebuchet MS"/>
          <w:spacing w:val="20"/>
        </w:rPr>
        <w:t xml:space="preserve">It would appear that while </w:t>
      </w:r>
      <w:r w:rsidR="008343E8">
        <w:rPr>
          <w:rFonts w:ascii="Trebuchet MS" w:hAnsi="Trebuchet MS"/>
          <w:spacing w:val="20"/>
        </w:rPr>
        <w:t xml:space="preserve">section </w:t>
      </w:r>
      <w:r w:rsidR="00EC184B">
        <w:rPr>
          <w:rFonts w:ascii="Trebuchet MS" w:hAnsi="Trebuchet MS"/>
          <w:spacing w:val="20"/>
        </w:rPr>
        <w:t>87(9</w:t>
      </w:r>
      <w:r>
        <w:rPr>
          <w:rFonts w:ascii="Trebuchet MS" w:hAnsi="Trebuchet MS"/>
          <w:spacing w:val="20"/>
        </w:rPr>
        <w:t xml:space="preserve">) of the Electoral Act, 2010 (as amended) </w:t>
      </w:r>
      <w:r w:rsidR="00450F52">
        <w:rPr>
          <w:rFonts w:ascii="Trebuchet MS" w:hAnsi="Trebuchet MS"/>
          <w:spacing w:val="20"/>
        </w:rPr>
        <w:t xml:space="preserve">gives </w:t>
      </w:r>
      <w:r w:rsidR="008343E8">
        <w:rPr>
          <w:rFonts w:ascii="Trebuchet MS" w:hAnsi="Trebuchet MS"/>
          <w:spacing w:val="20"/>
        </w:rPr>
        <w:t xml:space="preserve">only </w:t>
      </w:r>
      <w:r w:rsidR="00450F52">
        <w:rPr>
          <w:rFonts w:ascii="Trebuchet MS" w:hAnsi="Trebuchet MS"/>
          <w:spacing w:val="20"/>
        </w:rPr>
        <w:t xml:space="preserve">an aspirant of a political party the </w:t>
      </w:r>
      <w:r w:rsidR="00BF012A">
        <w:rPr>
          <w:rFonts w:ascii="Trebuchet MS" w:hAnsi="Trebuchet MS"/>
          <w:spacing w:val="20"/>
        </w:rPr>
        <w:t>locus</w:t>
      </w:r>
      <w:r w:rsidR="00450F52">
        <w:rPr>
          <w:rFonts w:ascii="Trebuchet MS" w:hAnsi="Trebuchet MS"/>
          <w:spacing w:val="20"/>
        </w:rPr>
        <w:t xml:space="preserve"> to proceed to court for failure to comply with any of the provisions of the Electoral Act and </w:t>
      </w:r>
      <w:r w:rsidR="008343E8">
        <w:rPr>
          <w:rFonts w:ascii="Trebuchet MS" w:hAnsi="Trebuchet MS"/>
          <w:spacing w:val="20"/>
        </w:rPr>
        <w:t xml:space="preserve">the </w:t>
      </w:r>
      <w:r w:rsidR="00450F52">
        <w:rPr>
          <w:rFonts w:ascii="Trebuchet MS" w:hAnsi="Trebuchet MS"/>
          <w:spacing w:val="20"/>
        </w:rPr>
        <w:t>guidelines of his political party, section 31(5) of the Electoral Act, 2010 (as amended) empowers any person whatsoever (be it an aspirant or not</w:t>
      </w:r>
      <w:r w:rsidR="00BF012A">
        <w:rPr>
          <w:rFonts w:ascii="Trebuchet MS" w:hAnsi="Trebuchet MS"/>
          <w:spacing w:val="20"/>
        </w:rPr>
        <w:t xml:space="preserve"> or a member of a political party or not</w:t>
      </w:r>
      <w:r w:rsidR="00450F52">
        <w:rPr>
          <w:rFonts w:ascii="Trebuchet MS" w:hAnsi="Trebuchet MS"/>
          <w:spacing w:val="20"/>
        </w:rPr>
        <w:t>) to proceed to court where he has a reasonable believe that any of the information provided by a candidate in the affidavit or any document submitted to Independent National Electoral Commission.</w:t>
      </w:r>
    </w:p>
    <w:p w14:paraId="7C733620" w14:textId="77777777" w:rsidR="00BB22D5" w:rsidRDefault="00BB22D5" w:rsidP="00E47BA8">
      <w:pPr>
        <w:spacing w:line="480" w:lineRule="auto"/>
        <w:contextualSpacing/>
        <w:jc w:val="both"/>
        <w:rPr>
          <w:rFonts w:ascii="Trebuchet MS" w:hAnsi="Trebuchet MS"/>
          <w:spacing w:val="20"/>
        </w:rPr>
      </w:pPr>
    </w:p>
    <w:p w14:paraId="6AF06EFF" w14:textId="5BD528E2" w:rsidR="00BB22D5" w:rsidRDefault="00BB22D5" w:rsidP="00E47BA8">
      <w:pPr>
        <w:spacing w:line="480" w:lineRule="auto"/>
        <w:contextualSpacing/>
        <w:jc w:val="both"/>
        <w:rPr>
          <w:rFonts w:ascii="Trebuchet MS" w:hAnsi="Trebuchet MS"/>
          <w:spacing w:val="20"/>
        </w:rPr>
      </w:pPr>
      <w:r>
        <w:rPr>
          <w:rFonts w:ascii="Trebuchet MS" w:hAnsi="Trebuchet MS"/>
          <w:spacing w:val="20"/>
        </w:rPr>
        <w:t>It is submitted that the provis</w:t>
      </w:r>
      <w:r w:rsidR="00EC184B">
        <w:rPr>
          <w:rFonts w:ascii="Trebuchet MS" w:hAnsi="Trebuchet MS"/>
          <w:spacing w:val="20"/>
        </w:rPr>
        <w:t>ions of sections 31(5) and 87(9</w:t>
      </w:r>
      <w:r>
        <w:rPr>
          <w:rFonts w:ascii="Trebuchet MS" w:hAnsi="Trebuchet MS"/>
          <w:spacing w:val="20"/>
        </w:rPr>
        <w:t>) of the Electoral Act, 2010 (as amended)</w:t>
      </w:r>
      <w:r w:rsidR="00A17E7F">
        <w:rPr>
          <w:rFonts w:ascii="Trebuchet MS" w:hAnsi="Trebuchet MS"/>
          <w:spacing w:val="20"/>
        </w:rPr>
        <w:t xml:space="preserve"> in relation to those things contained therein</w:t>
      </w:r>
      <w:r w:rsidR="00EC184B">
        <w:rPr>
          <w:rFonts w:ascii="Trebuchet MS" w:hAnsi="Trebuchet MS"/>
          <w:spacing w:val="20"/>
        </w:rPr>
        <w:t xml:space="preserve"> obviously shows that they are pre-election matters for </w:t>
      </w:r>
      <w:r w:rsidR="00A17E7F">
        <w:rPr>
          <w:rFonts w:ascii="Trebuchet MS" w:hAnsi="Trebuchet MS"/>
          <w:spacing w:val="20"/>
        </w:rPr>
        <w:t xml:space="preserve">which </w:t>
      </w:r>
      <w:r w:rsidR="00EC184B">
        <w:rPr>
          <w:rFonts w:ascii="Trebuchet MS" w:hAnsi="Trebuchet MS"/>
          <w:spacing w:val="20"/>
        </w:rPr>
        <w:t xml:space="preserve">jurisdiction is vested only in the </w:t>
      </w:r>
      <w:r>
        <w:rPr>
          <w:rFonts w:ascii="Trebuchet MS" w:hAnsi="Trebuchet MS"/>
          <w:spacing w:val="20"/>
        </w:rPr>
        <w:t>State High Court and Federal High Court</w:t>
      </w:r>
      <w:r w:rsidR="00EC184B">
        <w:rPr>
          <w:rFonts w:ascii="Trebuchet MS" w:hAnsi="Trebuchet MS"/>
          <w:spacing w:val="20"/>
        </w:rPr>
        <w:t>.</w:t>
      </w:r>
      <w:r>
        <w:rPr>
          <w:rFonts w:ascii="Trebuchet MS" w:hAnsi="Trebuchet MS"/>
          <w:spacing w:val="20"/>
        </w:rPr>
        <w:t xml:space="preserve"> </w:t>
      </w:r>
    </w:p>
    <w:p w14:paraId="7EB88B61" w14:textId="77777777" w:rsidR="00410521" w:rsidRDefault="00410521" w:rsidP="00E47BA8">
      <w:pPr>
        <w:spacing w:line="480" w:lineRule="auto"/>
        <w:contextualSpacing/>
        <w:jc w:val="both"/>
        <w:rPr>
          <w:rFonts w:ascii="Trebuchet MS" w:hAnsi="Trebuchet MS"/>
          <w:spacing w:val="20"/>
        </w:rPr>
      </w:pPr>
    </w:p>
    <w:p w14:paraId="08C7FF14" w14:textId="0E6D50DF" w:rsidR="00410521" w:rsidRDefault="00410521" w:rsidP="00E47BA8">
      <w:pPr>
        <w:spacing w:line="480" w:lineRule="auto"/>
        <w:contextualSpacing/>
        <w:jc w:val="both"/>
        <w:rPr>
          <w:rFonts w:ascii="Trebuchet MS" w:hAnsi="Trebuchet MS"/>
          <w:spacing w:val="20"/>
        </w:rPr>
      </w:pPr>
      <w:r>
        <w:rPr>
          <w:rFonts w:ascii="Trebuchet MS" w:hAnsi="Trebuchet MS"/>
          <w:spacing w:val="20"/>
        </w:rPr>
        <w:t>In as much as</w:t>
      </w:r>
      <w:r w:rsidR="002F7B39">
        <w:rPr>
          <w:rFonts w:ascii="Trebuchet MS" w:hAnsi="Trebuchet MS"/>
          <w:spacing w:val="20"/>
        </w:rPr>
        <w:t xml:space="preserve"> I know that pre-election matters are meant to be commenced before the holding of the main election, the question which comes to ones mind is; whether a pre-election matter can be commenced after the holding of the main election before the High Court of a State or Fede</w:t>
      </w:r>
      <w:r w:rsidR="00FB25C2">
        <w:rPr>
          <w:rFonts w:ascii="Trebuchet MS" w:hAnsi="Trebuchet MS"/>
          <w:spacing w:val="20"/>
        </w:rPr>
        <w:t>ral High Court?</w:t>
      </w:r>
      <w:r w:rsidR="002F7B39">
        <w:rPr>
          <w:rFonts w:ascii="Trebuchet MS" w:hAnsi="Trebuchet MS"/>
          <w:spacing w:val="20"/>
        </w:rPr>
        <w:t xml:space="preserve"> </w:t>
      </w:r>
      <w:r w:rsidR="002E2FCB">
        <w:rPr>
          <w:rFonts w:ascii="Trebuchet MS" w:hAnsi="Trebuchet MS"/>
          <w:spacing w:val="20"/>
        </w:rPr>
        <w:t>The an</w:t>
      </w:r>
      <w:r w:rsidR="0043596B">
        <w:rPr>
          <w:rFonts w:ascii="Trebuchet MS" w:hAnsi="Trebuchet MS"/>
          <w:spacing w:val="20"/>
        </w:rPr>
        <w:t xml:space="preserve">swer to this is in the negative as the Supreme Court has held that the </w:t>
      </w:r>
      <w:r w:rsidR="00555761">
        <w:rPr>
          <w:rFonts w:ascii="Trebuchet MS" w:hAnsi="Trebuchet MS"/>
          <w:spacing w:val="20"/>
        </w:rPr>
        <w:t xml:space="preserve">right of a </w:t>
      </w:r>
      <w:r w:rsidR="002E5D58">
        <w:rPr>
          <w:rFonts w:ascii="Trebuchet MS" w:hAnsi="Trebuchet MS"/>
          <w:spacing w:val="20"/>
        </w:rPr>
        <w:t>person to institute a</w:t>
      </w:r>
      <w:r w:rsidR="00555761">
        <w:rPr>
          <w:rFonts w:ascii="Trebuchet MS" w:hAnsi="Trebuchet MS"/>
          <w:spacing w:val="20"/>
        </w:rPr>
        <w:t xml:space="preserve"> pre-election </w:t>
      </w:r>
      <w:r w:rsidR="0043596B">
        <w:rPr>
          <w:rFonts w:ascii="Trebuchet MS" w:hAnsi="Trebuchet MS"/>
          <w:spacing w:val="20"/>
        </w:rPr>
        <w:t xml:space="preserve">matter </w:t>
      </w:r>
      <w:r w:rsidR="00555761">
        <w:rPr>
          <w:rFonts w:ascii="Trebuchet MS" w:hAnsi="Trebuchet MS"/>
          <w:spacing w:val="20"/>
        </w:rPr>
        <w:t>after the holding of the main election is completely extinguished.</w:t>
      </w:r>
      <w:r w:rsidR="002A3A69">
        <w:rPr>
          <w:rFonts w:ascii="Trebuchet MS" w:hAnsi="Trebuchet MS"/>
          <w:spacing w:val="20"/>
        </w:rPr>
        <w:t xml:space="preserve"> In the case of </w:t>
      </w:r>
      <w:r w:rsidR="002A3A69" w:rsidRPr="009A3761">
        <w:rPr>
          <w:rFonts w:ascii="Trebuchet MS" w:hAnsi="Trebuchet MS"/>
          <w:b/>
          <w:i/>
          <w:spacing w:val="20"/>
        </w:rPr>
        <w:t>Hassan v. Aliyu</w:t>
      </w:r>
      <w:r w:rsidR="002A3A69">
        <w:rPr>
          <w:rFonts w:ascii="Trebuchet MS" w:hAnsi="Trebuchet MS"/>
          <w:spacing w:val="20"/>
        </w:rPr>
        <w:t>,</w:t>
      </w:r>
      <w:r w:rsidR="002A3A69">
        <w:rPr>
          <w:rStyle w:val="FootnoteReference"/>
          <w:rFonts w:ascii="Trebuchet MS" w:hAnsi="Trebuchet MS"/>
          <w:spacing w:val="20"/>
        </w:rPr>
        <w:footnoteReference w:id="82"/>
      </w:r>
      <w:r w:rsidR="000D7A91">
        <w:rPr>
          <w:rFonts w:ascii="Trebuchet MS" w:hAnsi="Trebuchet MS"/>
          <w:spacing w:val="20"/>
        </w:rPr>
        <w:t xml:space="preserve"> The 2</w:t>
      </w:r>
      <w:r w:rsidR="000D7A91" w:rsidRPr="009A3761">
        <w:rPr>
          <w:rFonts w:ascii="Trebuchet MS" w:hAnsi="Trebuchet MS"/>
          <w:spacing w:val="20"/>
          <w:vertAlign w:val="superscript"/>
        </w:rPr>
        <w:t>nd</w:t>
      </w:r>
      <w:r w:rsidR="000D7A91">
        <w:rPr>
          <w:rFonts w:ascii="Trebuchet MS" w:hAnsi="Trebuchet MS"/>
          <w:spacing w:val="20"/>
        </w:rPr>
        <w:t xml:space="preserve"> Respondent (PDP) conducted its primary election to nominate its candidate for the Gubernatorial election for Niger State. The Appellant won the election and his name was forwarded to the 3</w:t>
      </w:r>
      <w:r w:rsidR="000D7A91" w:rsidRPr="009A3761">
        <w:rPr>
          <w:rFonts w:ascii="Trebuchet MS" w:hAnsi="Trebuchet MS"/>
          <w:spacing w:val="20"/>
          <w:vertAlign w:val="superscript"/>
        </w:rPr>
        <w:t>rd</w:t>
      </w:r>
      <w:r w:rsidR="000D7A91">
        <w:rPr>
          <w:rFonts w:ascii="Trebuchet MS" w:hAnsi="Trebuchet MS"/>
          <w:spacing w:val="20"/>
        </w:rPr>
        <w:t xml:space="preserve"> Respondent (INEC). The Appellants name was later substituted for the 1</w:t>
      </w:r>
      <w:r w:rsidR="000D7A91" w:rsidRPr="009A3761">
        <w:rPr>
          <w:rFonts w:ascii="Trebuchet MS" w:hAnsi="Trebuchet MS"/>
          <w:spacing w:val="20"/>
          <w:vertAlign w:val="superscript"/>
        </w:rPr>
        <w:t>st</w:t>
      </w:r>
      <w:r w:rsidR="000D7A91">
        <w:rPr>
          <w:rFonts w:ascii="Trebuchet MS" w:hAnsi="Trebuchet MS"/>
          <w:spacing w:val="20"/>
        </w:rPr>
        <w:t xml:space="preserve"> Respondent and the 1</w:t>
      </w:r>
      <w:r w:rsidR="000D7A91" w:rsidRPr="009A3761">
        <w:rPr>
          <w:rFonts w:ascii="Trebuchet MS" w:hAnsi="Trebuchet MS"/>
          <w:spacing w:val="20"/>
          <w:vertAlign w:val="superscript"/>
        </w:rPr>
        <w:t>st</w:t>
      </w:r>
      <w:r w:rsidR="000D7A91">
        <w:rPr>
          <w:rFonts w:ascii="Trebuchet MS" w:hAnsi="Trebuchet MS"/>
          <w:spacing w:val="20"/>
        </w:rPr>
        <w:t xml:space="preserve"> Respondent rather than the Appellant therefore contested the election held on 14</w:t>
      </w:r>
      <w:r w:rsidR="000D7A91" w:rsidRPr="009A3761">
        <w:rPr>
          <w:rFonts w:ascii="Trebuchet MS" w:hAnsi="Trebuchet MS"/>
          <w:spacing w:val="20"/>
          <w:vertAlign w:val="superscript"/>
        </w:rPr>
        <w:t>th</w:t>
      </w:r>
      <w:r w:rsidR="000D7A91">
        <w:rPr>
          <w:rFonts w:ascii="Trebuchet MS" w:hAnsi="Trebuchet MS"/>
          <w:spacing w:val="20"/>
        </w:rPr>
        <w:t xml:space="preserve"> April, 2007. The 1</w:t>
      </w:r>
      <w:r w:rsidR="000D7A91" w:rsidRPr="009A3761">
        <w:rPr>
          <w:rFonts w:ascii="Trebuchet MS" w:hAnsi="Trebuchet MS"/>
          <w:spacing w:val="20"/>
          <w:vertAlign w:val="superscript"/>
        </w:rPr>
        <w:t>st</w:t>
      </w:r>
      <w:r w:rsidR="000D7A91">
        <w:rPr>
          <w:rFonts w:ascii="Trebuchet MS" w:hAnsi="Trebuchet MS"/>
          <w:spacing w:val="20"/>
        </w:rPr>
        <w:t xml:space="preserve"> Respondent won the election and was sworn in as the Governor of Niger State on the 29</w:t>
      </w:r>
      <w:r w:rsidR="000D7A91" w:rsidRPr="009A3761">
        <w:rPr>
          <w:rFonts w:ascii="Trebuchet MS" w:hAnsi="Trebuchet MS"/>
          <w:spacing w:val="20"/>
          <w:vertAlign w:val="superscript"/>
        </w:rPr>
        <w:t>th</w:t>
      </w:r>
      <w:r w:rsidR="000D7A91">
        <w:rPr>
          <w:rFonts w:ascii="Trebuchet MS" w:hAnsi="Trebuchet MS"/>
          <w:spacing w:val="20"/>
        </w:rPr>
        <w:t xml:space="preserve"> May, 2007.</w:t>
      </w:r>
      <w:r w:rsidR="00973AA9">
        <w:rPr>
          <w:rFonts w:ascii="Trebuchet MS" w:hAnsi="Trebuchet MS"/>
          <w:spacing w:val="20"/>
        </w:rPr>
        <w:t xml:space="preserve"> On the 7</w:t>
      </w:r>
      <w:r w:rsidR="00973AA9" w:rsidRPr="009A3761">
        <w:rPr>
          <w:rFonts w:ascii="Trebuchet MS" w:hAnsi="Trebuchet MS"/>
          <w:spacing w:val="20"/>
          <w:vertAlign w:val="superscript"/>
        </w:rPr>
        <w:t>th</w:t>
      </w:r>
      <w:r w:rsidR="00973AA9">
        <w:rPr>
          <w:rFonts w:ascii="Trebuchet MS" w:hAnsi="Trebuchet MS"/>
          <w:spacing w:val="20"/>
        </w:rPr>
        <w:t xml:space="preserve"> of November, 2007, the Appellant instituted an action before the Federal High Court</w:t>
      </w:r>
      <w:r w:rsidR="00862EB8">
        <w:rPr>
          <w:rFonts w:ascii="Trebuchet MS" w:hAnsi="Trebuchet MS"/>
          <w:spacing w:val="20"/>
        </w:rPr>
        <w:t xml:space="preserve"> on wrongful substitution.</w:t>
      </w:r>
      <w:r w:rsidR="00B6394F">
        <w:rPr>
          <w:rFonts w:ascii="Trebuchet MS" w:hAnsi="Trebuchet MS"/>
          <w:spacing w:val="20"/>
        </w:rPr>
        <w:t xml:space="preserve"> A preliminary objection was filed challenging the jurisdiction of the court which inter-alia on the ground that</w:t>
      </w:r>
      <w:r w:rsidR="00456CAC">
        <w:rPr>
          <w:rFonts w:ascii="Trebuchet MS" w:hAnsi="Trebuchet MS"/>
          <w:spacing w:val="20"/>
        </w:rPr>
        <w:t xml:space="preserve"> the issue of nomination and substitution are pre-ele</w:t>
      </w:r>
      <w:r w:rsidR="00997A06">
        <w:rPr>
          <w:rFonts w:ascii="Trebuchet MS" w:hAnsi="Trebuchet MS"/>
          <w:spacing w:val="20"/>
        </w:rPr>
        <w:t>ction matters that</w:t>
      </w:r>
      <w:r w:rsidR="00456CAC">
        <w:rPr>
          <w:rFonts w:ascii="Trebuchet MS" w:hAnsi="Trebuchet MS"/>
          <w:spacing w:val="20"/>
        </w:rPr>
        <w:t xml:space="preserve"> are no longer justiciable after holding of the election.</w:t>
      </w:r>
      <w:r w:rsidR="000D7A91">
        <w:rPr>
          <w:rFonts w:ascii="Trebuchet MS" w:hAnsi="Trebuchet MS"/>
          <w:spacing w:val="20"/>
        </w:rPr>
        <w:t xml:space="preserve"> </w:t>
      </w:r>
      <w:r w:rsidR="00651C6F">
        <w:rPr>
          <w:rFonts w:ascii="Trebuchet MS" w:hAnsi="Trebuchet MS"/>
          <w:spacing w:val="20"/>
        </w:rPr>
        <w:t>The originating summons as well as the preliminary objection were heard and the preliminary objection was upheld and consequently, struck out the action</w:t>
      </w:r>
      <w:r w:rsidR="00376CFE">
        <w:rPr>
          <w:rFonts w:ascii="Trebuchet MS" w:hAnsi="Trebuchet MS"/>
          <w:spacing w:val="20"/>
        </w:rPr>
        <w:t>. Dissatis</w:t>
      </w:r>
      <w:r w:rsidR="00651C6F">
        <w:rPr>
          <w:rFonts w:ascii="Trebuchet MS" w:hAnsi="Trebuchet MS"/>
          <w:spacing w:val="20"/>
        </w:rPr>
        <w:t>fied, the Appellant appealed to the Court of Appeal</w:t>
      </w:r>
      <w:r w:rsidR="00376CFE">
        <w:rPr>
          <w:rFonts w:ascii="Trebuchet MS" w:hAnsi="Trebuchet MS"/>
          <w:spacing w:val="20"/>
        </w:rPr>
        <w:t xml:space="preserve">. The Appeal was dismissed and the Appellant further appealed to the Supreme Court. </w:t>
      </w:r>
      <w:r w:rsidR="00997A06">
        <w:rPr>
          <w:rFonts w:ascii="Trebuchet MS" w:hAnsi="Trebuchet MS"/>
          <w:spacing w:val="20"/>
        </w:rPr>
        <w:t xml:space="preserve">While dismissing the appeal, </w:t>
      </w:r>
      <w:r w:rsidR="00997A06" w:rsidRPr="00064694">
        <w:rPr>
          <w:rFonts w:ascii="Trebuchet MS" w:hAnsi="Trebuchet MS"/>
          <w:b/>
          <w:spacing w:val="20"/>
        </w:rPr>
        <w:t>Onnoghen J.S.C.</w:t>
      </w:r>
      <w:r w:rsidR="00DB2503">
        <w:rPr>
          <w:rStyle w:val="FootnoteReference"/>
          <w:rFonts w:ascii="Trebuchet MS" w:hAnsi="Trebuchet MS"/>
          <w:spacing w:val="20"/>
        </w:rPr>
        <w:footnoteReference w:id="83"/>
      </w:r>
      <w:r w:rsidR="00997A06">
        <w:rPr>
          <w:rFonts w:ascii="Trebuchet MS" w:hAnsi="Trebuchet MS"/>
          <w:spacing w:val="20"/>
        </w:rPr>
        <w:t xml:space="preserve"> held thus:</w:t>
      </w:r>
    </w:p>
    <w:p w14:paraId="674E37B5" w14:textId="6A75CA3A" w:rsidR="00CE264E" w:rsidRPr="00CE264E" w:rsidRDefault="006573AD" w:rsidP="00C22964">
      <w:pPr>
        <w:spacing w:line="480" w:lineRule="auto"/>
        <w:ind w:left="1440"/>
        <w:contextualSpacing/>
        <w:jc w:val="both"/>
        <w:rPr>
          <w:rFonts w:ascii="Trebuchet MS" w:hAnsi="Trebuchet MS"/>
          <w:spacing w:val="20"/>
        </w:rPr>
      </w:pPr>
      <w:r>
        <w:rPr>
          <w:rFonts w:ascii="Trebuchet MS" w:hAnsi="Trebuchet MS"/>
          <w:spacing w:val="20"/>
        </w:rPr>
        <w:t>“</w:t>
      </w:r>
      <w:r w:rsidR="00CE264E" w:rsidRPr="00CE264E">
        <w:rPr>
          <w:rFonts w:ascii="Trebuchet MS" w:hAnsi="Trebuchet MS"/>
          <w:spacing w:val="20"/>
        </w:rPr>
        <w:t xml:space="preserve">It is settled law that in an election or election related matter, time is of the essence. I will add that the same applies to pre-election matters. Election matters are </w:t>
      </w:r>
      <w:r w:rsidR="00CE264E" w:rsidRPr="00CE264E">
        <w:rPr>
          <w:rFonts w:ascii="Trebuchet MS" w:hAnsi="Trebuchet MS"/>
          <w:i/>
          <w:spacing w:val="20"/>
        </w:rPr>
        <w:t xml:space="preserve">sui generis, </w:t>
      </w:r>
      <w:r w:rsidR="00CE264E" w:rsidRPr="00CE264E">
        <w:rPr>
          <w:rFonts w:ascii="Trebuchet MS" w:hAnsi="Trebuchet MS"/>
          <w:spacing w:val="20"/>
        </w:rPr>
        <w:t>very much unlike ordinary civil or criminal proceedings. Appellant ought to have instituted the action soon after the substitution to keep his interest in the political contest alive but he did not. If he had, but the election went on and the 1</w:t>
      </w:r>
      <w:r w:rsidR="00CE264E" w:rsidRPr="00CE264E">
        <w:rPr>
          <w:rFonts w:ascii="Trebuchet MS" w:hAnsi="Trebuchet MS"/>
          <w:spacing w:val="20"/>
          <w:vertAlign w:val="superscript"/>
        </w:rPr>
        <w:t>st</w:t>
      </w:r>
      <w:r w:rsidR="00CE264E" w:rsidRPr="00CE264E">
        <w:rPr>
          <w:rFonts w:ascii="Trebuchet MS" w:hAnsi="Trebuchet MS"/>
          <w:spacing w:val="20"/>
        </w:rPr>
        <w:t xml:space="preserve"> respondent sworn in as the Governor, by the authority of the decision in </w:t>
      </w:r>
      <w:r w:rsidR="00CE264E" w:rsidRPr="00CE264E">
        <w:rPr>
          <w:rFonts w:ascii="Trebuchet MS" w:hAnsi="Trebuchet MS"/>
          <w:i/>
          <w:spacing w:val="20"/>
        </w:rPr>
        <w:t xml:space="preserve">Amaechi .v. I.N.E.C., </w:t>
      </w:r>
      <w:r w:rsidR="00CE264E" w:rsidRPr="00CE264E">
        <w:rPr>
          <w:rFonts w:ascii="Trebuchet MS" w:hAnsi="Trebuchet MS"/>
          <w:spacing w:val="20"/>
        </w:rPr>
        <w:t xml:space="preserve">section 308 of the 1999 Constitution would have been rendered a toothless bull dog. </w:t>
      </w:r>
    </w:p>
    <w:p w14:paraId="3EBBF8F0" w14:textId="281838F8" w:rsidR="00CE264E" w:rsidRPr="00CE264E" w:rsidRDefault="00CE264E" w:rsidP="00E47BA8">
      <w:pPr>
        <w:spacing w:line="480" w:lineRule="auto"/>
        <w:ind w:left="1440" w:firstLine="720"/>
        <w:contextualSpacing/>
        <w:jc w:val="both"/>
        <w:rPr>
          <w:rFonts w:ascii="Trebuchet MS" w:hAnsi="Trebuchet MS"/>
          <w:spacing w:val="20"/>
        </w:rPr>
      </w:pPr>
      <w:r w:rsidRPr="00CE264E">
        <w:rPr>
          <w:rFonts w:ascii="Trebuchet MS" w:hAnsi="Trebuchet MS"/>
          <w:spacing w:val="20"/>
        </w:rPr>
        <w:t>I hold the view that at the time appellant decided to go to court in the circumstances of this case, the question of nomination by way of substitution which is a pre-election matter had ceased to exist leaving only the election proper to be questioned and the proper place to do so is the election tribunal. If the situation in this case is encouraged, it will breed uncertainty in the polity when a person may wake up a year or more after an election and swearing-in of a president or governor to challenge his nomination by way of substitution for the election that brought him to power. Or he may even do so after the tenure of office of the official concerned which attitude ought not to be encouraged by the law. It should be noted that, appellant has the right to waive his right to the nomination by way of substitution which by his inordinate delay, he appears to have projected. Everyone must be watchful of his legal; right and be vigilant, in the instant case, appellant went to sleep until Section 308 of the Constitution of the Federal Republic of Nigeria, 1999 caught up with him upon his waking up. The instant action is clearly a civil action which is not maintainable against the 1</w:t>
      </w:r>
      <w:r w:rsidRPr="00CE264E">
        <w:rPr>
          <w:rFonts w:ascii="Trebuchet MS" w:hAnsi="Trebuchet MS"/>
          <w:spacing w:val="20"/>
          <w:vertAlign w:val="superscript"/>
        </w:rPr>
        <w:t>st</w:t>
      </w:r>
      <w:r w:rsidRPr="00CE264E">
        <w:rPr>
          <w:rFonts w:ascii="Trebuchet MS" w:hAnsi="Trebuchet MS"/>
          <w:spacing w:val="20"/>
        </w:rPr>
        <w:t xml:space="preserve"> respondent. I therefore agree with the lower court that section 308 of the Constitution of the Federal Republic of Nigerian, 1999 applies to the facts of this case, and resolve this issue against the appellant.</w:t>
      </w:r>
    </w:p>
    <w:p w14:paraId="7CCA5D35" w14:textId="444E50D8" w:rsidR="00997A06" w:rsidRDefault="00CE264E" w:rsidP="00E47BA8">
      <w:pPr>
        <w:spacing w:line="480" w:lineRule="auto"/>
        <w:ind w:left="1440" w:firstLine="720"/>
        <w:contextualSpacing/>
        <w:jc w:val="both"/>
        <w:rPr>
          <w:rFonts w:ascii="Trebuchet MS" w:hAnsi="Trebuchet MS"/>
          <w:spacing w:val="20"/>
        </w:rPr>
      </w:pPr>
      <w:r w:rsidRPr="00CE264E">
        <w:rPr>
          <w:rFonts w:ascii="Trebuchet MS" w:hAnsi="Trebuchet MS"/>
          <w:spacing w:val="20"/>
        </w:rPr>
        <w:t>Appellant might have had a good case but he was not diligent in pursuing it. It dangerous to lay the precedent that a party who has substituted wrongfully or otherwise is at liberty to challenge the substitution or nomination by way of substitution of his opponent months or years or at any time during or even after the tenure of the elected government official and have the election annulled and himself declared the winner or governor by the regular court. That will be ambushing the governorship seat at the gate of the judiciary, which I think ought not to be encouraged.</w:t>
      </w:r>
    </w:p>
    <w:p w14:paraId="79F448FD" w14:textId="77777777" w:rsidR="00C22964" w:rsidRDefault="00C22964" w:rsidP="00E47BA8">
      <w:pPr>
        <w:spacing w:line="480" w:lineRule="auto"/>
        <w:contextualSpacing/>
        <w:jc w:val="both"/>
        <w:rPr>
          <w:rFonts w:ascii="Trebuchet MS" w:hAnsi="Trebuchet MS"/>
          <w:spacing w:val="20"/>
        </w:rPr>
      </w:pPr>
    </w:p>
    <w:p w14:paraId="703C3212" w14:textId="3552A181" w:rsidR="00D25AD5" w:rsidRDefault="00960A13" w:rsidP="00E47BA8">
      <w:pPr>
        <w:spacing w:line="480" w:lineRule="auto"/>
        <w:contextualSpacing/>
        <w:jc w:val="both"/>
        <w:rPr>
          <w:rFonts w:ascii="Trebuchet MS" w:hAnsi="Trebuchet MS"/>
          <w:spacing w:val="20"/>
        </w:rPr>
      </w:pPr>
      <w:r>
        <w:rPr>
          <w:rFonts w:ascii="Trebuchet MS" w:hAnsi="Trebuchet MS"/>
          <w:spacing w:val="20"/>
        </w:rPr>
        <w:t xml:space="preserve">This was the same thing that happened in the recent case of </w:t>
      </w:r>
      <w:r w:rsidRPr="009A3761">
        <w:rPr>
          <w:rFonts w:ascii="Trebuchet MS" w:hAnsi="Trebuchet MS"/>
          <w:b/>
          <w:i/>
          <w:spacing w:val="20"/>
        </w:rPr>
        <w:t>Salim v. C.P.C.</w:t>
      </w:r>
      <w:r w:rsidR="0024420D" w:rsidRPr="009A3761">
        <w:rPr>
          <w:rFonts w:ascii="Trebuchet MS" w:hAnsi="Trebuchet MS"/>
          <w:b/>
          <w:i/>
          <w:spacing w:val="20"/>
        </w:rPr>
        <w:t>,</w:t>
      </w:r>
      <w:r w:rsidR="00541198">
        <w:rPr>
          <w:rStyle w:val="FootnoteReference"/>
          <w:rFonts w:ascii="Trebuchet MS" w:hAnsi="Trebuchet MS"/>
          <w:spacing w:val="20"/>
        </w:rPr>
        <w:footnoteReference w:id="84"/>
      </w:r>
      <w:r w:rsidR="0024420D">
        <w:rPr>
          <w:rFonts w:ascii="Trebuchet MS" w:hAnsi="Trebuchet MS"/>
          <w:spacing w:val="20"/>
        </w:rPr>
        <w:t xml:space="preserve"> and </w:t>
      </w:r>
      <w:r w:rsidR="0024420D" w:rsidRPr="009A3761">
        <w:rPr>
          <w:rFonts w:ascii="Trebuchet MS" w:hAnsi="Trebuchet MS"/>
          <w:b/>
          <w:spacing w:val="20"/>
        </w:rPr>
        <w:t>Peter-Odili, J.S.C.,</w:t>
      </w:r>
      <w:r w:rsidR="0024420D">
        <w:rPr>
          <w:rFonts w:ascii="Trebuchet MS" w:hAnsi="Trebuchet MS"/>
          <w:spacing w:val="20"/>
        </w:rPr>
        <w:t xml:space="preserve"> held thus:</w:t>
      </w:r>
    </w:p>
    <w:p w14:paraId="5C1BE5FA" w14:textId="34E78BD1" w:rsidR="0024420D" w:rsidRDefault="0099487A" w:rsidP="00E47BA8">
      <w:pPr>
        <w:spacing w:line="480" w:lineRule="auto"/>
        <w:ind w:left="1440" w:firstLine="720"/>
        <w:contextualSpacing/>
        <w:jc w:val="both"/>
        <w:rPr>
          <w:rFonts w:ascii="Trebuchet MS" w:hAnsi="Trebuchet MS"/>
          <w:spacing w:val="20"/>
        </w:rPr>
      </w:pPr>
      <w:r>
        <w:rPr>
          <w:rFonts w:ascii="Trebuchet MS" w:hAnsi="Trebuchet MS"/>
          <w:spacing w:val="20"/>
        </w:rPr>
        <w:t>“The instant situation where the appellant as plaintiff did not complain to court before election and even then 38 days after the election to t</w:t>
      </w:r>
      <w:r w:rsidR="00CD3CE7">
        <w:rPr>
          <w:rFonts w:ascii="Trebuchet MS" w:hAnsi="Trebuchet MS"/>
          <w:spacing w:val="20"/>
        </w:rPr>
        <w:t>a</w:t>
      </w:r>
      <w:r>
        <w:rPr>
          <w:rFonts w:ascii="Trebuchet MS" w:hAnsi="Trebuchet MS"/>
          <w:spacing w:val="20"/>
        </w:rPr>
        <w:t>lk of a pre-election matter for the first time is a pill too difficult to swallow. He by his lack of consciousness took his matter out of the domain of pre-election can only go before the Election Tribunal to try his luck since the status of the matter was post election clearly outside the ambit of either the Federal High Court, State High Court or High Court of the FCT. The other way to say it is that the matter had become spent or no longer alive to be adjudicated upon by any of those courts above mentioned</w:t>
      </w:r>
      <w:r w:rsidR="00AC047C">
        <w:rPr>
          <w:rFonts w:ascii="Trebuchet MS" w:hAnsi="Trebuchet MS"/>
          <w:spacing w:val="20"/>
        </w:rPr>
        <w:t xml:space="preserve"> as in this instance.</w:t>
      </w:r>
      <w:r w:rsidR="00CD3CE7">
        <w:rPr>
          <w:rFonts w:ascii="Trebuchet MS" w:hAnsi="Trebuchet MS"/>
          <w:spacing w:val="20"/>
        </w:rPr>
        <w:t>”</w:t>
      </w:r>
    </w:p>
    <w:p w14:paraId="78B2AF19" w14:textId="77777777" w:rsidR="00C22964" w:rsidRDefault="00C22964" w:rsidP="00E47BA8">
      <w:pPr>
        <w:spacing w:line="480" w:lineRule="auto"/>
        <w:contextualSpacing/>
        <w:jc w:val="both"/>
        <w:rPr>
          <w:rFonts w:ascii="Trebuchet MS" w:hAnsi="Trebuchet MS"/>
          <w:spacing w:val="20"/>
        </w:rPr>
      </w:pPr>
    </w:p>
    <w:p w14:paraId="12C42BDE" w14:textId="281EE597" w:rsidR="002E5D58" w:rsidRDefault="002E5D58" w:rsidP="00E47BA8">
      <w:pPr>
        <w:spacing w:line="480" w:lineRule="auto"/>
        <w:contextualSpacing/>
        <w:jc w:val="both"/>
        <w:rPr>
          <w:rFonts w:ascii="Trebuchet MS" w:hAnsi="Trebuchet MS"/>
          <w:spacing w:val="20"/>
        </w:rPr>
      </w:pPr>
      <w:r>
        <w:rPr>
          <w:rFonts w:ascii="Trebuchet MS" w:hAnsi="Trebuchet MS"/>
          <w:spacing w:val="20"/>
        </w:rPr>
        <w:t>While it is true that there must be an end to litigation, t</w:t>
      </w:r>
      <w:r w:rsidR="00D837F9">
        <w:rPr>
          <w:rFonts w:ascii="Trebuchet MS" w:hAnsi="Trebuchet MS"/>
          <w:spacing w:val="20"/>
        </w:rPr>
        <w:t>he question is where such vitia</w:t>
      </w:r>
      <w:r w:rsidR="001231E5">
        <w:rPr>
          <w:rFonts w:ascii="Trebuchet MS" w:hAnsi="Trebuchet MS"/>
          <w:spacing w:val="20"/>
        </w:rPr>
        <w:t>ting f</w:t>
      </w:r>
      <w:r>
        <w:rPr>
          <w:rFonts w:ascii="Trebuchet MS" w:hAnsi="Trebuchet MS"/>
          <w:spacing w:val="20"/>
        </w:rPr>
        <w:t xml:space="preserve">actor was discovered subsequent to the conduct of the election, should it then be that the law must close its eyes no </w:t>
      </w:r>
      <w:r w:rsidR="001231E5">
        <w:rPr>
          <w:rFonts w:ascii="Trebuchet MS" w:hAnsi="Trebuchet MS"/>
          <w:spacing w:val="20"/>
        </w:rPr>
        <w:t>matter how vital or crucia</w:t>
      </w:r>
      <w:r>
        <w:rPr>
          <w:rFonts w:ascii="Trebuchet MS" w:hAnsi="Trebuchet MS"/>
          <w:spacing w:val="20"/>
        </w:rPr>
        <w:t>l such is to the credibility of the process or the functionary.</w:t>
      </w:r>
      <w:r w:rsidR="00FA5B84">
        <w:rPr>
          <w:rFonts w:ascii="Trebuchet MS" w:hAnsi="Trebuchet MS"/>
          <w:spacing w:val="20"/>
        </w:rPr>
        <w:t xml:space="preserve"> I think not as I believe that such must still be permissible in so far as such ca</w:t>
      </w:r>
      <w:r w:rsidR="00BB3C9A">
        <w:rPr>
          <w:rFonts w:ascii="Trebuchet MS" w:hAnsi="Trebuchet MS"/>
          <w:spacing w:val="20"/>
        </w:rPr>
        <w:t>n</w:t>
      </w:r>
      <w:r w:rsidR="00FA5B84">
        <w:rPr>
          <w:rFonts w:ascii="Trebuchet MS" w:hAnsi="Trebuchet MS"/>
          <w:spacing w:val="20"/>
        </w:rPr>
        <w:t xml:space="preserve"> be justified before the court. </w:t>
      </w:r>
    </w:p>
    <w:p w14:paraId="5F9A83BD" w14:textId="77777777" w:rsidR="00486BEA" w:rsidRDefault="00486BEA" w:rsidP="00E47BA8">
      <w:pPr>
        <w:spacing w:line="480" w:lineRule="auto"/>
        <w:contextualSpacing/>
        <w:jc w:val="both"/>
        <w:rPr>
          <w:rFonts w:ascii="Trebuchet MS" w:hAnsi="Trebuchet MS"/>
          <w:spacing w:val="20"/>
        </w:rPr>
      </w:pPr>
    </w:p>
    <w:p w14:paraId="056FF601" w14:textId="4F0A5992" w:rsidR="0060799C" w:rsidRDefault="002D4E70" w:rsidP="00E47BA8">
      <w:pPr>
        <w:spacing w:line="480" w:lineRule="auto"/>
        <w:contextualSpacing/>
        <w:jc w:val="both"/>
        <w:rPr>
          <w:rFonts w:ascii="Trebuchet MS" w:hAnsi="Trebuchet MS"/>
          <w:spacing w:val="20"/>
        </w:rPr>
      </w:pPr>
      <w:r>
        <w:rPr>
          <w:rFonts w:ascii="Trebuchet MS" w:hAnsi="Trebuchet MS"/>
          <w:spacing w:val="20"/>
        </w:rPr>
        <w:t>At the other side of the divide are election p</w:t>
      </w:r>
      <w:r w:rsidR="00217C94">
        <w:rPr>
          <w:rFonts w:ascii="Trebuchet MS" w:hAnsi="Trebuchet MS"/>
          <w:spacing w:val="20"/>
        </w:rPr>
        <w:t xml:space="preserve">etitions </w:t>
      </w:r>
      <w:r>
        <w:rPr>
          <w:rFonts w:ascii="Trebuchet MS" w:hAnsi="Trebuchet MS"/>
          <w:spacing w:val="20"/>
        </w:rPr>
        <w:t xml:space="preserve">which </w:t>
      </w:r>
      <w:r w:rsidR="00217C94">
        <w:rPr>
          <w:rFonts w:ascii="Trebuchet MS" w:hAnsi="Trebuchet MS"/>
          <w:spacing w:val="20"/>
        </w:rPr>
        <w:t xml:space="preserve">are </w:t>
      </w:r>
      <w:r w:rsidR="00217C94" w:rsidRPr="009A3761">
        <w:rPr>
          <w:rFonts w:ascii="Trebuchet MS" w:hAnsi="Trebuchet MS"/>
          <w:i/>
          <w:spacing w:val="20"/>
        </w:rPr>
        <w:t>sui generis</w:t>
      </w:r>
      <w:r w:rsidR="00217C94">
        <w:rPr>
          <w:rFonts w:ascii="Trebuchet MS" w:hAnsi="Trebuchet MS"/>
          <w:spacing w:val="20"/>
        </w:rPr>
        <w:t xml:space="preserve"> and are so regarded because they are different from the ordinary civil matter before the court in the sense that substantial justice</w:t>
      </w:r>
      <w:r w:rsidR="000045A5">
        <w:rPr>
          <w:rFonts w:ascii="Trebuchet MS" w:hAnsi="Trebuchet MS"/>
          <w:spacing w:val="20"/>
        </w:rPr>
        <w:t xml:space="preserve"> as against technicaliti</w:t>
      </w:r>
      <w:r w:rsidR="00A30BA0">
        <w:rPr>
          <w:rFonts w:ascii="Trebuchet MS" w:hAnsi="Trebuchet MS"/>
          <w:spacing w:val="20"/>
        </w:rPr>
        <w:t>es</w:t>
      </w:r>
      <w:r w:rsidR="00217C94">
        <w:rPr>
          <w:rFonts w:ascii="Trebuchet MS" w:hAnsi="Trebuchet MS"/>
          <w:spacing w:val="20"/>
        </w:rPr>
        <w:t xml:space="preserve"> is expected to play a pivotal role in the resolution of election petitions before the Tribunal.</w:t>
      </w:r>
      <w:r w:rsidR="00A30BA0">
        <w:rPr>
          <w:rFonts w:ascii="Trebuchet MS" w:hAnsi="Trebuchet MS"/>
          <w:spacing w:val="20"/>
        </w:rPr>
        <w:t xml:space="preserve"> This is basic reason why Sagay</w:t>
      </w:r>
      <w:r w:rsidR="00A30BA0">
        <w:rPr>
          <w:rStyle w:val="FootnoteReference"/>
          <w:rFonts w:ascii="Trebuchet MS" w:hAnsi="Trebuchet MS"/>
          <w:spacing w:val="20"/>
        </w:rPr>
        <w:footnoteReference w:id="85"/>
      </w:r>
      <w:r w:rsidR="00A30BA0">
        <w:rPr>
          <w:rFonts w:ascii="Trebuchet MS" w:hAnsi="Trebuchet MS"/>
          <w:spacing w:val="20"/>
        </w:rPr>
        <w:t xml:space="preserve"> stated thus:</w:t>
      </w:r>
    </w:p>
    <w:p w14:paraId="2B6A08C9" w14:textId="7957993E" w:rsidR="00A30BA0" w:rsidRDefault="00A30BA0" w:rsidP="00E47BA8">
      <w:pPr>
        <w:spacing w:line="480" w:lineRule="auto"/>
        <w:ind w:left="1440" w:firstLine="720"/>
        <w:contextualSpacing/>
        <w:jc w:val="both"/>
        <w:rPr>
          <w:rFonts w:ascii="Trebuchet MS" w:hAnsi="Trebuchet MS"/>
          <w:spacing w:val="20"/>
        </w:rPr>
      </w:pPr>
      <w:r>
        <w:rPr>
          <w:rFonts w:ascii="Trebuchet MS" w:hAnsi="Trebuchet MS"/>
          <w:spacing w:val="20"/>
        </w:rPr>
        <w:t>“The intention of the Electoral Act and other laws employed in litigation are geared towards ensuring that substantial justice is done to the parties at the expense of technicalities and conclusions that tend to shut out an aggrieved party from the temple of justice</w:t>
      </w:r>
      <w:r w:rsidR="00912FC2">
        <w:rPr>
          <w:rFonts w:ascii="Trebuchet MS" w:hAnsi="Trebuchet MS"/>
          <w:spacing w:val="20"/>
        </w:rPr>
        <w:t xml:space="preserve">, by not hearing it on merit, ought not to be encouraged in the interest of justice and democracy. </w:t>
      </w:r>
      <w:r w:rsidR="00912FC2" w:rsidRPr="009A3761">
        <w:rPr>
          <w:rFonts w:ascii="Trebuchet MS" w:hAnsi="Trebuchet MS"/>
          <w:i/>
          <w:spacing w:val="20"/>
        </w:rPr>
        <w:t>See</w:t>
      </w:r>
      <w:r w:rsidR="00912FC2">
        <w:rPr>
          <w:rFonts w:ascii="Trebuchet MS" w:hAnsi="Trebuchet MS"/>
          <w:spacing w:val="20"/>
        </w:rPr>
        <w:t xml:space="preserve">, </w:t>
      </w:r>
      <w:r w:rsidR="00912FC2" w:rsidRPr="009A3761">
        <w:rPr>
          <w:rFonts w:ascii="Trebuchet MS" w:hAnsi="Trebuchet MS"/>
          <w:i/>
          <w:spacing w:val="20"/>
        </w:rPr>
        <w:t>Omoiregbai v. Ogedengbe</w:t>
      </w:r>
      <w:r w:rsidR="00912FC2">
        <w:rPr>
          <w:rFonts w:ascii="Trebuchet MS" w:hAnsi="Trebuchet MS"/>
          <w:spacing w:val="20"/>
        </w:rPr>
        <w:t xml:space="preserve"> [2009] 44 WRN 136 at 161-162)”</w:t>
      </w:r>
    </w:p>
    <w:p w14:paraId="623DD21E" w14:textId="77777777" w:rsidR="00C22964" w:rsidRDefault="00C22964" w:rsidP="00E47BA8">
      <w:pPr>
        <w:spacing w:line="480" w:lineRule="auto"/>
        <w:contextualSpacing/>
        <w:jc w:val="both"/>
        <w:rPr>
          <w:rFonts w:ascii="Trebuchet MS" w:hAnsi="Trebuchet MS"/>
          <w:spacing w:val="20"/>
        </w:rPr>
      </w:pPr>
    </w:p>
    <w:p w14:paraId="3F40ECC9" w14:textId="479C9E26" w:rsidR="0086669C" w:rsidRDefault="0086669C" w:rsidP="00E47BA8">
      <w:pPr>
        <w:spacing w:line="480" w:lineRule="auto"/>
        <w:contextualSpacing/>
        <w:jc w:val="both"/>
        <w:rPr>
          <w:rFonts w:ascii="Trebuchet MS" w:hAnsi="Trebuchet MS"/>
          <w:spacing w:val="20"/>
        </w:rPr>
      </w:pPr>
      <w:r>
        <w:rPr>
          <w:rFonts w:ascii="Trebuchet MS" w:hAnsi="Trebuchet MS"/>
          <w:spacing w:val="20"/>
        </w:rPr>
        <w:t>To further buttress the position of Sagay</w:t>
      </w:r>
      <w:r w:rsidR="00497052">
        <w:rPr>
          <w:rFonts w:ascii="Trebuchet MS" w:hAnsi="Trebuchet MS"/>
          <w:spacing w:val="20"/>
        </w:rPr>
        <w:t xml:space="preserve">, the Supreme Court, </w:t>
      </w:r>
      <w:r w:rsidR="00497052" w:rsidRPr="009A3761">
        <w:rPr>
          <w:rFonts w:ascii="Trebuchet MS" w:hAnsi="Trebuchet MS"/>
          <w:b/>
          <w:spacing w:val="20"/>
        </w:rPr>
        <w:t>Per Onnoghen J.S.C.</w:t>
      </w:r>
      <w:r w:rsidR="00497052">
        <w:rPr>
          <w:rFonts w:ascii="Trebuchet MS" w:hAnsi="Trebuchet MS"/>
          <w:spacing w:val="20"/>
        </w:rPr>
        <w:t xml:space="preserve"> in the case of </w:t>
      </w:r>
      <w:r w:rsidR="00497052" w:rsidRPr="009A3761">
        <w:rPr>
          <w:rFonts w:ascii="Trebuchet MS" w:hAnsi="Trebuchet MS"/>
          <w:b/>
          <w:i/>
          <w:spacing w:val="20"/>
        </w:rPr>
        <w:t>HDP v. INEC</w:t>
      </w:r>
      <w:r w:rsidR="00497052">
        <w:rPr>
          <w:rStyle w:val="FootnoteReference"/>
          <w:rFonts w:ascii="Trebuchet MS" w:hAnsi="Trebuchet MS"/>
          <w:spacing w:val="20"/>
        </w:rPr>
        <w:footnoteReference w:id="86"/>
      </w:r>
      <w:r w:rsidR="00497052">
        <w:rPr>
          <w:rFonts w:ascii="Trebuchet MS" w:hAnsi="Trebuchet MS"/>
          <w:spacing w:val="20"/>
        </w:rPr>
        <w:t xml:space="preserve"> made the following observation:</w:t>
      </w:r>
    </w:p>
    <w:p w14:paraId="342697DC" w14:textId="062722E1" w:rsidR="00497052" w:rsidRDefault="00497052" w:rsidP="00E47BA8">
      <w:pPr>
        <w:spacing w:line="480" w:lineRule="auto"/>
        <w:ind w:left="1440"/>
        <w:contextualSpacing/>
        <w:jc w:val="both"/>
        <w:rPr>
          <w:rFonts w:ascii="Trebuchet MS" w:hAnsi="Trebuchet MS"/>
          <w:spacing w:val="20"/>
        </w:rPr>
      </w:pPr>
      <w:r>
        <w:rPr>
          <w:rFonts w:ascii="Trebuchet MS" w:hAnsi="Trebuchet MS"/>
          <w:spacing w:val="20"/>
        </w:rPr>
        <w:t>“It should be noted that though election petitions are said to be sui generis they are concerned with the political rights and obligations of the people- particularly those who consider their rights injured by the electoral process and need to ventilate their grievances. Such people ought to be encouraged to do so with some latitude knowing that in the process of initiating proceedings to ventilate their grievances, mistakes, such as those in the instant case may occur. Since the intention of the Electoral Act and other laws employed in litigation are geared towards ensuring that substantial justice</w:t>
      </w:r>
      <w:r w:rsidR="00892E33">
        <w:rPr>
          <w:rFonts w:ascii="Trebuchet MS" w:hAnsi="Trebuchet MS"/>
          <w:spacing w:val="20"/>
        </w:rPr>
        <w:t xml:space="preserve"> is done</w:t>
      </w:r>
      <w:r>
        <w:rPr>
          <w:rFonts w:ascii="Trebuchet MS" w:hAnsi="Trebuchet MS"/>
          <w:spacing w:val="20"/>
        </w:rPr>
        <w:t xml:space="preserve"> to the parties</w:t>
      </w:r>
      <w:r w:rsidR="00424841">
        <w:rPr>
          <w:rFonts w:ascii="Trebuchet MS" w:hAnsi="Trebuchet MS"/>
          <w:spacing w:val="20"/>
        </w:rPr>
        <w:t xml:space="preserve"> at the expense of technicalities, any conclusion that tends to shut out an aggrieved party from the temple of justice by not hearing him on the merit not to be encouraged in the interest of peace and democracy.</w:t>
      </w:r>
      <w:r w:rsidR="004E7793">
        <w:rPr>
          <w:rFonts w:ascii="Trebuchet MS" w:hAnsi="Trebuchet MS"/>
          <w:spacing w:val="20"/>
        </w:rPr>
        <w:t>”</w:t>
      </w:r>
    </w:p>
    <w:p w14:paraId="1AA0410E" w14:textId="77777777" w:rsidR="008E4E5D" w:rsidRDefault="008E4E5D" w:rsidP="00E47BA8">
      <w:pPr>
        <w:spacing w:line="480" w:lineRule="auto"/>
        <w:contextualSpacing/>
        <w:jc w:val="both"/>
        <w:rPr>
          <w:rFonts w:ascii="Trebuchet MS" w:hAnsi="Trebuchet MS"/>
          <w:spacing w:val="20"/>
        </w:rPr>
      </w:pPr>
    </w:p>
    <w:p w14:paraId="090A0299" w14:textId="180587A4" w:rsidR="00A97B57" w:rsidRDefault="00A07938" w:rsidP="00E47BA8">
      <w:pPr>
        <w:spacing w:line="480" w:lineRule="auto"/>
        <w:contextualSpacing/>
        <w:jc w:val="both"/>
        <w:rPr>
          <w:rFonts w:ascii="Trebuchet MS" w:hAnsi="Trebuchet MS"/>
          <w:spacing w:val="20"/>
        </w:rPr>
      </w:pPr>
      <w:r>
        <w:rPr>
          <w:rFonts w:ascii="Trebuchet MS" w:hAnsi="Trebuchet MS"/>
          <w:spacing w:val="20"/>
        </w:rPr>
        <w:t xml:space="preserve">However, the </w:t>
      </w:r>
      <w:r w:rsidR="009C27FC">
        <w:rPr>
          <w:rFonts w:ascii="Trebuchet MS" w:hAnsi="Trebuchet MS"/>
          <w:spacing w:val="20"/>
        </w:rPr>
        <w:t xml:space="preserve">various </w:t>
      </w:r>
      <w:r>
        <w:rPr>
          <w:rFonts w:ascii="Trebuchet MS" w:hAnsi="Trebuchet MS"/>
          <w:spacing w:val="20"/>
        </w:rPr>
        <w:t>decisions of our respective Tribunal</w:t>
      </w:r>
      <w:r w:rsidR="009C27FC">
        <w:rPr>
          <w:rFonts w:ascii="Trebuchet MS" w:hAnsi="Trebuchet MS"/>
          <w:spacing w:val="20"/>
        </w:rPr>
        <w:t>s</w:t>
      </w:r>
      <w:r>
        <w:rPr>
          <w:rFonts w:ascii="Trebuchet MS" w:hAnsi="Trebuchet MS"/>
          <w:spacing w:val="20"/>
        </w:rPr>
        <w:t xml:space="preserve"> </w:t>
      </w:r>
      <w:r w:rsidR="009C27FC">
        <w:rPr>
          <w:rFonts w:ascii="Trebuchet MS" w:hAnsi="Trebuchet MS"/>
          <w:spacing w:val="20"/>
        </w:rPr>
        <w:t xml:space="preserve">as well as </w:t>
      </w:r>
      <w:r>
        <w:rPr>
          <w:rFonts w:ascii="Trebuchet MS" w:hAnsi="Trebuchet MS"/>
          <w:spacing w:val="20"/>
        </w:rPr>
        <w:t>the Appellate Court</w:t>
      </w:r>
      <w:r w:rsidR="009C27FC">
        <w:rPr>
          <w:rFonts w:ascii="Trebuchet MS" w:hAnsi="Trebuchet MS"/>
          <w:spacing w:val="20"/>
        </w:rPr>
        <w:t xml:space="preserve">, obviously reveals that substantial justice no longer play a key role in the resolution of election petitions. Rather, technicalities have been substituted for substantial justice to the extent that most of our election petition cases are either not heard on the merit and even if heard on the merit, technicalities </w:t>
      </w:r>
      <w:r w:rsidR="003C3036">
        <w:rPr>
          <w:rFonts w:ascii="Trebuchet MS" w:hAnsi="Trebuchet MS"/>
          <w:spacing w:val="20"/>
        </w:rPr>
        <w:t>is</w:t>
      </w:r>
      <w:r w:rsidR="009C27FC">
        <w:rPr>
          <w:rFonts w:ascii="Trebuchet MS" w:hAnsi="Trebuchet MS"/>
          <w:spacing w:val="20"/>
        </w:rPr>
        <w:t xml:space="preserve"> employed</w:t>
      </w:r>
      <w:r w:rsidR="00135118">
        <w:rPr>
          <w:rFonts w:ascii="Trebuchet MS" w:hAnsi="Trebuchet MS"/>
          <w:spacing w:val="20"/>
        </w:rPr>
        <w:t xml:space="preserve"> </w:t>
      </w:r>
      <w:r w:rsidR="003C3036">
        <w:rPr>
          <w:rFonts w:ascii="Trebuchet MS" w:hAnsi="Trebuchet MS"/>
          <w:spacing w:val="20"/>
        </w:rPr>
        <w:t xml:space="preserve">in </w:t>
      </w:r>
      <w:r w:rsidR="00135118">
        <w:rPr>
          <w:rFonts w:ascii="Trebuchet MS" w:hAnsi="Trebuchet MS"/>
          <w:spacing w:val="20"/>
        </w:rPr>
        <w:t>whittling down the merit of the trial.</w:t>
      </w:r>
      <w:r w:rsidR="00F46554">
        <w:rPr>
          <w:rFonts w:ascii="Trebuchet MS" w:hAnsi="Trebuchet MS"/>
          <w:spacing w:val="20"/>
        </w:rPr>
        <w:t xml:space="preserve"> The use of technicalities in striking out or dismissing election petition cases is</w:t>
      </w:r>
      <w:r w:rsidR="001841F7">
        <w:rPr>
          <w:rFonts w:ascii="Trebuchet MS" w:hAnsi="Trebuchet MS"/>
          <w:spacing w:val="20"/>
        </w:rPr>
        <w:t xml:space="preserve"> employed either </w:t>
      </w:r>
      <w:r w:rsidR="00C320F3">
        <w:rPr>
          <w:rFonts w:ascii="Trebuchet MS" w:hAnsi="Trebuchet MS"/>
          <w:spacing w:val="20"/>
        </w:rPr>
        <w:t xml:space="preserve">(a) </w:t>
      </w:r>
      <w:r w:rsidR="001841F7">
        <w:rPr>
          <w:rFonts w:ascii="Trebuchet MS" w:hAnsi="Trebuchet MS"/>
          <w:spacing w:val="20"/>
        </w:rPr>
        <w:t xml:space="preserve">as a result of the failure of our tribunals or courts to properly appreciate the law sought to be interpreted vis-à-vis other existing laws or </w:t>
      </w:r>
      <w:r w:rsidR="00C320F3">
        <w:rPr>
          <w:rFonts w:ascii="Trebuchet MS" w:hAnsi="Trebuchet MS"/>
          <w:spacing w:val="20"/>
        </w:rPr>
        <w:t xml:space="preserve">(b) </w:t>
      </w:r>
      <w:r w:rsidR="001841F7">
        <w:rPr>
          <w:rFonts w:ascii="Trebuchet MS" w:hAnsi="Trebuchet MS"/>
          <w:spacing w:val="20"/>
        </w:rPr>
        <w:t xml:space="preserve">due to </w:t>
      </w:r>
      <w:r w:rsidR="00675B6D">
        <w:rPr>
          <w:rFonts w:ascii="Trebuchet MS" w:hAnsi="Trebuchet MS"/>
          <w:spacing w:val="20"/>
        </w:rPr>
        <w:t xml:space="preserve">a </w:t>
      </w:r>
      <w:r w:rsidR="001841F7">
        <w:rPr>
          <w:rFonts w:ascii="Trebuchet MS" w:hAnsi="Trebuchet MS"/>
          <w:spacing w:val="20"/>
        </w:rPr>
        <w:t>compromise on the part of the</w:t>
      </w:r>
      <w:r w:rsidR="00C320F3">
        <w:rPr>
          <w:rFonts w:ascii="Trebuchet MS" w:hAnsi="Trebuchet MS"/>
          <w:spacing w:val="20"/>
        </w:rPr>
        <w:t xml:space="preserve"> tribunals or courts.</w:t>
      </w:r>
      <w:r w:rsidR="001841F7">
        <w:rPr>
          <w:rFonts w:ascii="Trebuchet MS" w:hAnsi="Trebuchet MS"/>
          <w:spacing w:val="20"/>
        </w:rPr>
        <w:t xml:space="preserve"> </w:t>
      </w:r>
      <w:r w:rsidR="00675B6D">
        <w:rPr>
          <w:rFonts w:ascii="Trebuchet MS" w:hAnsi="Trebuchet MS"/>
          <w:spacing w:val="20"/>
        </w:rPr>
        <w:t xml:space="preserve">This shall </w:t>
      </w:r>
      <w:r w:rsidR="00A97B57">
        <w:rPr>
          <w:rFonts w:ascii="Trebuchet MS" w:hAnsi="Trebuchet MS"/>
          <w:spacing w:val="20"/>
        </w:rPr>
        <w:t xml:space="preserve">now </w:t>
      </w:r>
      <w:r w:rsidR="00675B6D">
        <w:rPr>
          <w:rFonts w:ascii="Trebuchet MS" w:hAnsi="Trebuchet MS"/>
          <w:spacing w:val="20"/>
        </w:rPr>
        <w:t>be demonstrated anon</w:t>
      </w:r>
      <w:r w:rsidR="00F176D6">
        <w:rPr>
          <w:rFonts w:ascii="Trebuchet MS" w:hAnsi="Trebuchet MS"/>
          <w:spacing w:val="20"/>
        </w:rPr>
        <w:t xml:space="preserve"> as follows:</w:t>
      </w:r>
      <w:r w:rsidR="00A97B57">
        <w:rPr>
          <w:rFonts w:ascii="Trebuchet MS" w:hAnsi="Trebuchet MS"/>
          <w:spacing w:val="20"/>
        </w:rPr>
        <w:t xml:space="preserve"> </w:t>
      </w:r>
    </w:p>
    <w:p w14:paraId="54605502" w14:textId="4208C512" w:rsidR="00A44A86" w:rsidRDefault="003201BE" w:rsidP="00E47BA8">
      <w:pPr>
        <w:pStyle w:val="ListParagraph"/>
        <w:numPr>
          <w:ilvl w:val="0"/>
          <w:numId w:val="19"/>
        </w:numPr>
        <w:spacing w:line="480" w:lineRule="auto"/>
        <w:ind w:left="426"/>
        <w:jc w:val="both"/>
        <w:rPr>
          <w:rFonts w:ascii="Trebuchet MS" w:hAnsi="Trebuchet MS"/>
          <w:spacing w:val="20"/>
        </w:rPr>
      </w:pPr>
      <w:r w:rsidRPr="003D7E62">
        <w:rPr>
          <w:rFonts w:ascii="Trebuchet MS" w:hAnsi="Trebuchet MS"/>
          <w:b/>
          <w:spacing w:val="20"/>
        </w:rPr>
        <w:t>Interpretation on mode of application for issuance of pre-hearing notice</w:t>
      </w:r>
      <w:r>
        <w:rPr>
          <w:rFonts w:ascii="Trebuchet MS" w:hAnsi="Trebuchet MS"/>
          <w:spacing w:val="20"/>
        </w:rPr>
        <w:t>:-</w:t>
      </w:r>
      <w:r w:rsidR="00A50783">
        <w:rPr>
          <w:rFonts w:ascii="Trebuchet MS" w:hAnsi="Trebuchet MS"/>
          <w:spacing w:val="20"/>
        </w:rPr>
        <w:t xml:space="preserve"> There are conflicting decisions on the mode of application</w:t>
      </w:r>
      <w:r w:rsidR="00593F03">
        <w:rPr>
          <w:rFonts w:ascii="Trebuchet MS" w:hAnsi="Trebuchet MS"/>
          <w:spacing w:val="20"/>
        </w:rPr>
        <w:t xml:space="preserve"> for the issuance of pre-hearing session. Some </w:t>
      </w:r>
      <w:r>
        <w:rPr>
          <w:rFonts w:ascii="Trebuchet MS" w:hAnsi="Trebuchet MS"/>
          <w:spacing w:val="20"/>
        </w:rPr>
        <w:t>tribunals</w:t>
      </w:r>
      <w:r w:rsidR="00593F03">
        <w:rPr>
          <w:rFonts w:ascii="Trebuchet MS" w:hAnsi="Trebuchet MS"/>
          <w:spacing w:val="20"/>
        </w:rPr>
        <w:t xml:space="preserve"> and Court of Appeal that have </w:t>
      </w:r>
      <w:r>
        <w:rPr>
          <w:rFonts w:ascii="Trebuchet MS" w:hAnsi="Trebuchet MS"/>
          <w:spacing w:val="20"/>
        </w:rPr>
        <w:t>failed to do justice in interpreting the provision relating to issuance of pre-hearing notice</w:t>
      </w:r>
      <w:r w:rsidR="00A44A86">
        <w:rPr>
          <w:rFonts w:ascii="Trebuchet MS" w:hAnsi="Trebuchet MS"/>
          <w:spacing w:val="20"/>
        </w:rPr>
        <w:t xml:space="preserve"> which in turn led to dismissal of some petitions without being had on the merit</w:t>
      </w:r>
      <w:r>
        <w:rPr>
          <w:rFonts w:ascii="Trebuchet MS" w:hAnsi="Trebuchet MS"/>
          <w:spacing w:val="20"/>
        </w:rPr>
        <w:t xml:space="preserve">. Paragraph 18(1) of the First Schedule to the Electoral Act, 2010  </w:t>
      </w:r>
      <w:r w:rsidR="006753A8">
        <w:rPr>
          <w:rFonts w:ascii="Trebuchet MS" w:hAnsi="Trebuchet MS"/>
          <w:spacing w:val="20"/>
        </w:rPr>
        <w:t>(</w:t>
      </w:r>
      <w:r>
        <w:rPr>
          <w:rFonts w:ascii="Trebuchet MS" w:hAnsi="Trebuchet MS"/>
          <w:spacing w:val="20"/>
        </w:rPr>
        <w:t>which provisio</w:t>
      </w:r>
      <w:r w:rsidR="00C60B4B">
        <w:rPr>
          <w:rFonts w:ascii="Trebuchet MS" w:hAnsi="Trebuchet MS"/>
          <w:spacing w:val="20"/>
        </w:rPr>
        <w:t>n</w:t>
      </w:r>
      <w:r>
        <w:rPr>
          <w:rFonts w:ascii="Trebuchet MS" w:hAnsi="Trebuchet MS"/>
          <w:spacing w:val="20"/>
        </w:rPr>
        <w:t xml:space="preserve"> is </w:t>
      </w:r>
      <w:r w:rsidRPr="009A3761">
        <w:rPr>
          <w:rFonts w:ascii="Trebuchet MS" w:hAnsi="Trebuchet MS"/>
          <w:i/>
          <w:spacing w:val="20"/>
        </w:rPr>
        <w:t>impari materia</w:t>
      </w:r>
      <w:r w:rsidR="00C60B4B">
        <w:rPr>
          <w:rFonts w:ascii="Trebuchet MS" w:hAnsi="Trebuchet MS"/>
          <w:spacing w:val="20"/>
        </w:rPr>
        <w:t xml:space="preserve"> with </w:t>
      </w:r>
      <w:r w:rsidR="006753A8">
        <w:rPr>
          <w:rFonts w:ascii="Trebuchet MS" w:hAnsi="Trebuchet MS"/>
          <w:spacing w:val="20"/>
        </w:rPr>
        <w:t xml:space="preserve">the then </w:t>
      </w:r>
      <w:r w:rsidR="00C60B4B">
        <w:rPr>
          <w:rFonts w:ascii="Trebuchet MS" w:hAnsi="Trebuchet MS"/>
          <w:spacing w:val="20"/>
        </w:rPr>
        <w:t xml:space="preserve">paragraph 3(1) of the </w:t>
      </w:r>
      <w:r w:rsidR="00FB57EE" w:rsidRPr="009A3761">
        <w:rPr>
          <w:rFonts w:ascii="Trebuchet MS" w:hAnsi="Trebuchet MS"/>
          <w:spacing w:val="20"/>
        </w:rPr>
        <w:t>Election</w:t>
      </w:r>
      <w:r w:rsidR="00C60B4B" w:rsidRPr="00FB57EE">
        <w:rPr>
          <w:rFonts w:ascii="Trebuchet MS" w:hAnsi="Trebuchet MS"/>
          <w:spacing w:val="20"/>
        </w:rPr>
        <w:t xml:space="preserve"> Tribunal and Court’s Practice Directions, 2007</w:t>
      </w:r>
      <w:r w:rsidR="00A44A86" w:rsidRPr="00FB57EE">
        <w:rPr>
          <w:rFonts w:ascii="Trebuchet MS" w:hAnsi="Trebuchet MS"/>
          <w:spacing w:val="20"/>
        </w:rPr>
        <w:t xml:space="preserve"> </w:t>
      </w:r>
      <w:r w:rsidR="006753A8" w:rsidRPr="00426589">
        <w:rPr>
          <w:rFonts w:ascii="Trebuchet MS" w:hAnsi="Trebuchet MS"/>
          <w:spacing w:val="20"/>
        </w:rPr>
        <w:t>mad</w:t>
      </w:r>
      <w:r w:rsidR="006753A8">
        <w:rPr>
          <w:rFonts w:ascii="Trebuchet MS" w:hAnsi="Trebuchet MS"/>
          <w:spacing w:val="20"/>
        </w:rPr>
        <w:t xml:space="preserve">e pursuant to the Electoral Act, 2006) </w:t>
      </w:r>
      <w:r w:rsidR="00A44A86">
        <w:rPr>
          <w:rFonts w:ascii="Trebuchet MS" w:hAnsi="Trebuchet MS"/>
          <w:spacing w:val="20"/>
        </w:rPr>
        <w:t>states as follows:</w:t>
      </w:r>
    </w:p>
    <w:p w14:paraId="3B121258" w14:textId="77777777" w:rsidR="00CE233E" w:rsidRPr="00CE233E" w:rsidRDefault="00CE233E" w:rsidP="00E47BA8">
      <w:pPr>
        <w:pStyle w:val="ListParagraph"/>
        <w:spacing w:line="480" w:lineRule="auto"/>
        <w:ind w:left="426"/>
        <w:jc w:val="both"/>
        <w:rPr>
          <w:rFonts w:ascii="Trebuchet MS" w:hAnsi="Trebuchet MS"/>
          <w:spacing w:val="20"/>
          <w:sz w:val="16"/>
        </w:rPr>
      </w:pPr>
    </w:p>
    <w:p w14:paraId="68B04DB2" w14:textId="0EAA0399" w:rsidR="00A44A86" w:rsidRDefault="00A44A86" w:rsidP="00E47BA8">
      <w:pPr>
        <w:pStyle w:val="ListParagraph"/>
        <w:spacing w:line="480" w:lineRule="auto"/>
        <w:ind w:left="1440"/>
        <w:jc w:val="both"/>
        <w:rPr>
          <w:rFonts w:ascii="Trebuchet MS" w:hAnsi="Trebuchet MS"/>
          <w:spacing w:val="20"/>
        </w:rPr>
      </w:pPr>
      <w:r w:rsidRPr="009A3761">
        <w:rPr>
          <w:rFonts w:ascii="Trebuchet MS" w:hAnsi="Trebuchet MS"/>
          <w:spacing w:val="20"/>
        </w:rPr>
        <w:t>“Within 7 days after the filing and service of the petitioner’s reply on the respondent or 7 days after the filing and service of the respondent’s reply, whichever is the case, the petitioner shall apply for the issuance of pre-hearing notice as in Form TF 007.”</w:t>
      </w:r>
    </w:p>
    <w:p w14:paraId="3F5684D3" w14:textId="77777777" w:rsidR="00CE233E" w:rsidRPr="00CE233E" w:rsidRDefault="00CE233E" w:rsidP="00E47BA8">
      <w:pPr>
        <w:pStyle w:val="ListParagraph"/>
        <w:spacing w:line="480" w:lineRule="auto"/>
        <w:ind w:left="1440"/>
        <w:jc w:val="both"/>
        <w:rPr>
          <w:rFonts w:ascii="Trebuchet MS" w:hAnsi="Trebuchet MS"/>
          <w:spacing w:val="20"/>
          <w:sz w:val="12"/>
        </w:rPr>
      </w:pPr>
    </w:p>
    <w:p w14:paraId="2628748B" w14:textId="24820A0F" w:rsidR="001E128F" w:rsidRDefault="006753A8" w:rsidP="00E47BA8">
      <w:pPr>
        <w:pStyle w:val="ListParagraph"/>
        <w:spacing w:line="480" w:lineRule="auto"/>
        <w:ind w:left="426"/>
        <w:jc w:val="both"/>
        <w:rPr>
          <w:rFonts w:ascii="Trebuchet MS" w:hAnsi="Trebuchet MS"/>
          <w:spacing w:val="20"/>
        </w:rPr>
      </w:pPr>
      <w:r>
        <w:rPr>
          <w:rFonts w:ascii="Trebuchet MS" w:hAnsi="Trebuchet MS"/>
          <w:spacing w:val="20"/>
        </w:rPr>
        <w:t xml:space="preserve">In interpreting the above provision, </w:t>
      </w:r>
      <w:r w:rsidR="007C0CFF">
        <w:rPr>
          <w:rFonts w:ascii="Trebuchet MS" w:hAnsi="Trebuchet MS"/>
          <w:spacing w:val="20"/>
        </w:rPr>
        <w:t xml:space="preserve">these tribunals and Court of Appeal that failed to do substantial justice made </w:t>
      </w:r>
      <w:r w:rsidR="008E4C1A">
        <w:rPr>
          <w:rFonts w:ascii="Trebuchet MS" w:hAnsi="Trebuchet MS"/>
          <w:spacing w:val="20"/>
        </w:rPr>
        <w:t xml:space="preserve">resort </w:t>
      </w:r>
      <w:r w:rsidR="001E128F">
        <w:rPr>
          <w:rFonts w:ascii="Trebuchet MS" w:hAnsi="Trebuchet MS"/>
          <w:spacing w:val="20"/>
        </w:rPr>
        <w:t xml:space="preserve">to the provision of Paragraph 47(2) of the First Schedule to the Electoral Act, 2010 (which provision is </w:t>
      </w:r>
      <w:r w:rsidR="001E128F" w:rsidRPr="009A3761">
        <w:rPr>
          <w:rFonts w:ascii="Trebuchet MS" w:hAnsi="Trebuchet MS"/>
          <w:i/>
          <w:spacing w:val="20"/>
        </w:rPr>
        <w:t>impari materia</w:t>
      </w:r>
      <w:r w:rsidR="001E128F">
        <w:rPr>
          <w:rFonts w:ascii="Trebuchet MS" w:hAnsi="Trebuchet MS"/>
          <w:spacing w:val="20"/>
        </w:rPr>
        <w:t xml:space="preserve"> with the provision of Paragraph 6(2) of the Electoral Tribunal and Court’s Practice Directions, 2007) that provides thus;</w:t>
      </w:r>
    </w:p>
    <w:p w14:paraId="753257BC" w14:textId="77777777" w:rsidR="00CE233E" w:rsidRPr="00CE233E" w:rsidRDefault="00CE233E" w:rsidP="00E47BA8">
      <w:pPr>
        <w:pStyle w:val="ListParagraph"/>
        <w:spacing w:line="480" w:lineRule="auto"/>
        <w:ind w:left="426"/>
        <w:jc w:val="both"/>
        <w:rPr>
          <w:rFonts w:ascii="Trebuchet MS" w:hAnsi="Trebuchet MS"/>
          <w:spacing w:val="20"/>
          <w:sz w:val="14"/>
        </w:rPr>
      </w:pPr>
    </w:p>
    <w:p w14:paraId="0BA7D4A1" w14:textId="1F8D6E21" w:rsidR="001E128F" w:rsidRDefault="00010CC5" w:rsidP="00E47BA8">
      <w:pPr>
        <w:pStyle w:val="ListParagraph"/>
        <w:spacing w:line="480" w:lineRule="auto"/>
        <w:ind w:left="1440"/>
        <w:jc w:val="both"/>
        <w:rPr>
          <w:rFonts w:ascii="Trebuchet MS" w:hAnsi="Trebuchet MS"/>
          <w:spacing w:val="20"/>
        </w:rPr>
      </w:pPr>
      <w:r>
        <w:rPr>
          <w:rFonts w:ascii="Trebuchet MS" w:hAnsi="Trebuchet MS"/>
          <w:spacing w:val="20"/>
        </w:rPr>
        <w:t>“Whereby these Rules any application is authorized to be made to the Tribunal or Court, such application shall be made by motion which may be supported by affidavit and shall state under what rule or law the application is brought and shall be served on the respondents.”</w:t>
      </w:r>
    </w:p>
    <w:p w14:paraId="275CB345" w14:textId="77777777" w:rsidR="00CE233E" w:rsidRPr="00CE233E" w:rsidRDefault="00CE233E" w:rsidP="00E47BA8">
      <w:pPr>
        <w:pStyle w:val="ListParagraph"/>
        <w:spacing w:line="480" w:lineRule="auto"/>
        <w:ind w:left="1440"/>
        <w:jc w:val="both"/>
        <w:rPr>
          <w:rFonts w:ascii="Trebuchet MS" w:hAnsi="Trebuchet MS"/>
          <w:spacing w:val="20"/>
          <w:sz w:val="12"/>
        </w:rPr>
      </w:pPr>
    </w:p>
    <w:p w14:paraId="2BA32335" w14:textId="4C7555A0" w:rsidR="00C23F94" w:rsidRDefault="008E4C1A" w:rsidP="00E47BA8">
      <w:pPr>
        <w:pStyle w:val="ListParagraph"/>
        <w:spacing w:line="480" w:lineRule="auto"/>
        <w:ind w:left="426"/>
        <w:jc w:val="both"/>
        <w:rPr>
          <w:rFonts w:ascii="Trebuchet MS" w:hAnsi="Trebuchet MS"/>
          <w:spacing w:val="20"/>
        </w:rPr>
      </w:pPr>
      <w:r>
        <w:rPr>
          <w:rFonts w:ascii="Trebuchet MS" w:hAnsi="Trebuchet MS"/>
          <w:spacing w:val="20"/>
        </w:rPr>
        <w:t>Going by the provision of Paragraph 47(2)</w:t>
      </w:r>
      <w:r>
        <w:rPr>
          <w:rStyle w:val="FootnoteReference"/>
          <w:rFonts w:ascii="Trebuchet MS" w:hAnsi="Trebuchet MS"/>
          <w:spacing w:val="20"/>
        </w:rPr>
        <w:footnoteReference w:id="87"/>
      </w:r>
      <w:r>
        <w:rPr>
          <w:rFonts w:ascii="Trebuchet MS" w:hAnsi="Trebuchet MS"/>
          <w:spacing w:val="20"/>
        </w:rPr>
        <w:t xml:space="preserve"> </w:t>
      </w:r>
      <w:r w:rsidR="007C0CFF">
        <w:rPr>
          <w:rFonts w:ascii="Trebuchet MS" w:hAnsi="Trebuchet MS"/>
          <w:spacing w:val="20"/>
        </w:rPr>
        <w:t>these</w:t>
      </w:r>
      <w:r>
        <w:rPr>
          <w:rFonts w:ascii="Trebuchet MS" w:hAnsi="Trebuchet MS"/>
          <w:spacing w:val="20"/>
        </w:rPr>
        <w:t xml:space="preserve"> tribunals</w:t>
      </w:r>
      <w:r w:rsidR="007C0CFF">
        <w:rPr>
          <w:rFonts w:ascii="Trebuchet MS" w:hAnsi="Trebuchet MS"/>
          <w:spacing w:val="20"/>
        </w:rPr>
        <w:t xml:space="preserve"> and Court of Appeal</w:t>
      </w:r>
      <w:r>
        <w:rPr>
          <w:rFonts w:ascii="Trebuchet MS" w:hAnsi="Trebuchet MS"/>
          <w:spacing w:val="20"/>
        </w:rPr>
        <w:t xml:space="preserve"> have held that application for issuance of pre-hearing notice in Paragraph 18(1)</w:t>
      </w:r>
      <w:r>
        <w:rPr>
          <w:rStyle w:val="FootnoteReference"/>
          <w:rFonts w:ascii="Trebuchet MS" w:hAnsi="Trebuchet MS"/>
          <w:spacing w:val="20"/>
        </w:rPr>
        <w:footnoteReference w:id="88"/>
      </w:r>
      <w:r>
        <w:rPr>
          <w:rFonts w:ascii="Trebuchet MS" w:hAnsi="Trebuchet MS"/>
          <w:spacing w:val="20"/>
        </w:rPr>
        <w:t xml:space="preserve"> requires the filing of a motion </w:t>
      </w:r>
      <w:r w:rsidR="00C23F94">
        <w:rPr>
          <w:rFonts w:ascii="Trebuchet MS" w:hAnsi="Trebuchet MS"/>
          <w:spacing w:val="20"/>
        </w:rPr>
        <w:t xml:space="preserve">either </w:t>
      </w:r>
      <w:r>
        <w:rPr>
          <w:rFonts w:ascii="Trebuchet MS" w:hAnsi="Trebuchet MS"/>
          <w:spacing w:val="20"/>
        </w:rPr>
        <w:t>on notice</w:t>
      </w:r>
      <w:r w:rsidR="00C23F94">
        <w:rPr>
          <w:rFonts w:ascii="Trebuchet MS" w:hAnsi="Trebuchet MS"/>
          <w:spacing w:val="20"/>
        </w:rPr>
        <w:t xml:space="preserve"> or ex-parte</w:t>
      </w:r>
      <w:r>
        <w:rPr>
          <w:rFonts w:ascii="Trebuchet MS" w:hAnsi="Trebuchet MS"/>
          <w:spacing w:val="20"/>
        </w:rPr>
        <w:t xml:space="preserve"> and that a letter does not suffice for the issuance of pre-hearing notice.</w:t>
      </w:r>
      <w:r w:rsidR="00DD5346">
        <w:rPr>
          <w:rFonts w:ascii="Trebuchet MS" w:hAnsi="Trebuchet MS"/>
          <w:spacing w:val="20"/>
        </w:rPr>
        <w:t xml:space="preserve"> In the case of </w:t>
      </w:r>
      <w:r w:rsidR="00FB3FF8" w:rsidRPr="009A3761">
        <w:rPr>
          <w:rFonts w:ascii="Trebuchet MS" w:hAnsi="Trebuchet MS"/>
          <w:b/>
          <w:i/>
          <w:spacing w:val="20"/>
        </w:rPr>
        <w:t>Riruwai v. Sheka</w:t>
      </w:r>
      <w:r w:rsidR="00FE4B25" w:rsidRPr="009A3761">
        <w:rPr>
          <w:rFonts w:ascii="Trebuchet MS" w:hAnsi="Trebuchet MS"/>
          <w:b/>
          <w:i/>
          <w:spacing w:val="20"/>
        </w:rPr>
        <w:t>rau</w:t>
      </w:r>
      <w:r w:rsidR="00FE4B25">
        <w:rPr>
          <w:rFonts w:ascii="Trebuchet MS" w:hAnsi="Trebuchet MS"/>
          <w:spacing w:val="20"/>
        </w:rPr>
        <w:t>,</w:t>
      </w:r>
      <w:r w:rsidR="00FE4B25">
        <w:rPr>
          <w:rStyle w:val="FootnoteReference"/>
          <w:rFonts w:ascii="Trebuchet MS" w:hAnsi="Trebuchet MS"/>
          <w:spacing w:val="20"/>
        </w:rPr>
        <w:footnoteReference w:id="89"/>
      </w:r>
      <w:r w:rsidR="00FE4B25">
        <w:rPr>
          <w:rFonts w:ascii="Trebuchet MS" w:hAnsi="Trebuchet MS"/>
          <w:spacing w:val="20"/>
        </w:rPr>
        <w:t xml:space="preserve"> </w:t>
      </w:r>
      <w:r w:rsidR="00C23F94">
        <w:rPr>
          <w:rFonts w:ascii="Trebuchet MS" w:hAnsi="Trebuchet MS"/>
          <w:spacing w:val="20"/>
        </w:rPr>
        <w:t>Although, t</w:t>
      </w:r>
      <w:r w:rsidR="00FE4B25">
        <w:rPr>
          <w:rFonts w:ascii="Trebuchet MS" w:hAnsi="Trebuchet MS"/>
          <w:spacing w:val="20"/>
        </w:rPr>
        <w:t>he Petitioners/Appellants’ contention that they applied to the tribunal for pre-hearing notice by a letter dated 12</w:t>
      </w:r>
      <w:r w:rsidR="00FE4B25" w:rsidRPr="009A3761">
        <w:rPr>
          <w:rFonts w:ascii="Trebuchet MS" w:hAnsi="Trebuchet MS"/>
          <w:spacing w:val="20"/>
          <w:vertAlign w:val="superscript"/>
        </w:rPr>
        <w:t>th</w:t>
      </w:r>
      <w:r w:rsidR="00FE4B25">
        <w:rPr>
          <w:rFonts w:ascii="Trebuchet MS" w:hAnsi="Trebuchet MS"/>
          <w:spacing w:val="20"/>
        </w:rPr>
        <w:t xml:space="preserve"> July, 2007 was dismissed by the Court of Appeal on the ground that</w:t>
      </w:r>
      <w:r w:rsidR="00FB57EE">
        <w:rPr>
          <w:rFonts w:ascii="Trebuchet MS" w:hAnsi="Trebuchet MS"/>
          <w:spacing w:val="20"/>
        </w:rPr>
        <w:t xml:space="preserve"> the alleged letter was not exhibited to the Appellants’ motion neither </w:t>
      </w:r>
      <w:r w:rsidR="00E5348D">
        <w:rPr>
          <w:rFonts w:ascii="Trebuchet MS" w:hAnsi="Trebuchet MS"/>
          <w:spacing w:val="20"/>
        </w:rPr>
        <w:t>was</w:t>
      </w:r>
      <w:r w:rsidR="00FB57EE">
        <w:rPr>
          <w:rFonts w:ascii="Trebuchet MS" w:hAnsi="Trebuchet MS"/>
          <w:spacing w:val="20"/>
        </w:rPr>
        <w:t xml:space="preserve"> it in the record of proceedings </w:t>
      </w:r>
      <w:r w:rsidR="00C23F94">
        <w:rPr>
          <w:rFonts w:ascii="Trebuchet MS" w:hAnsi="Trebuchet MS"/>
          <w:spacing w:val="20"/>
        </w:rPr>
        <w:t>yet</w:t>
      </w:r>
      <w:r w:rsidR="00FB57EE">
        <w:rPr>
          <w:rFonts w:ascii="Trebuchet MS" w:hAnsi="Trebuchet MS"/>
          <w:spacing w:val="20"/>
        </w:rPr>
        <w:t xml:space="preserve"> the Court of Appeal still went ahead to hold that the alleged letter was of no moment as it does not conform with what is envisaged in paragraph 3(1).</w:t>
      </w:r>
      <w:r w:rsidR="00FB57EE">
        <w:rPr>
          <w:rStyle w:val="FootnoteReference"/>
          <w:rFonts w:ascii="Trebuchet MS" w:hAnsi="Trebuchet MS"/>
          <w:spacing w:val="20"/>
        </w:rPr>
        <w:footnoteReference w:id="90"/>
      </w:r>
      <w:r w:rsidR="00E5348D">
        <w:rPr>
          <w:rFonts w:ascii="Trebuchet MS" w:hAnsi="Trebuchet MS"/>
          <w:spacing w:val="20"/>
        </w:rPr>
        <w:t xml:space="preserve"> The Court</w:t>
      </w:r>
      <w:r w:rsidR="00A11E2B">
        <w:rPr>
          <w:rFonts w:ascii="Trebuchet MS" w:hAnsi="Trebuchet MS"/>
          <w:spacing w:val="20"/>
        </w:rPr>
        <w:t>,</w:t>
      </w:r>
      <w:r w:rsidR="00E5348D">
        <w:rPr>
          <w:rFonts w:ascii="Trebuchet MS" w:hAnsi="Trebuchet MS"/>
          <w:spacing w:val="20"/>
        </w:rPr>
        <w:t xml:space="preserve"> </w:t>
      </w:r>
      <w:r w:rsidR="00E5348D" w:rsidRPr="009A3761">
        <w:rPr>
          <w:rFonts w:ascii="Trebuchet MS" w:hAnsi="Trebuchet MS"/>
          <w:b/>
          <w:spacing w:val="20"/>
        </w:rPr>
        <w:t>Per Ndukwe-Anyanwu, J.C.A.</w:t>
      </w:r>
      <w:r w:rsidR="00E5348D">
        <w:rPr>
          <w:rFonts w:ascii="Trebuchet MS" w:hAnsi="Trebuchet MS"/>
          <w:spacing w:val="20"/>
        </w:rPr>
        <w:t xml:space="preserve"> held thus</w:t>
      </w:r>
      <w:r w:rsidR="004D3711">
        <w:rPr>
          <w:rFonts w:ascii="Trebuchet MS" w:hAnsi="Trebuchet MS"/>
          <w:spacing w:val="20"/>
        </w:rPr>
        <w:t>:</w:t>
      </w:r>
    </w:p>
    <w:p w14:paraId="3488ED49" w14:textId="77777777" w:rsidR="00224D00" w:rsidRPr="00224D00" w:rsidRDefault="00224D00" w:rsidP="00E47BA8">
      <w:pPr>
        <w:pStyle w:val="ListParagraph"/>
        <w:spacing w:line="480" w:lineRule="auto"/>
        <w:ind w:left="426"/>
        <w:jc w:val="both"/>
        <w:rPr>
          <w:rFonts w:ascii="Trebuchet MS" w:hAnsi="Trebuchet MS"/>
          <w:spacing w:val="20"/>
          <w:sz w:val="12"/>
        </w:rPr>
      </w:pPr>
    </w:p>
    <w:p w14:paraId="58C4A35B" w14:textId="77777777" w:rsidR="00C23F94" w:rsidRDefault="007C39A0" w:rsidP="00E47BA8">
      <w:pPr>
        <w:pStyle w:val="ListParagraph"/>
        <w:spacing w:line="480" w:lineRule="auto"/>
        <w:ind w:left="1440"/>
        <w:jc w:val="both"/>
        <w:rPr>
          <w:rFonts w:ascii="Trebuchet MS" w:hAnsi="Trebuchet MS"/>
          <w:spacing w:val="20"/>
        </w:rPr>
      </w:pPr>
      <w:r w:rsidRPr="009A3761">
        <w:rPr>
          <w:rFonts w:ascii="Trebuchet MS" w:hAnsi="Trebuchet MS"/>
          <w:spacing w:val="20"/>
        </w:rPr>
        <w:t>“Application in legal parlance or court procedure does not mean a letter written to the court but an application by motion either ex parte or on notice. See paragraph 6(2) of the Practice Directions, 2007 and the case of Sincerity and Trust Multi Purpose Cooperative Society Ltd. v. Emenue (2002) 11 WRN 16; (2002) 10 NWLR (Pt. 776) 509.”</w:t>
      </w:r>
      <w:r>
        <w:rPr>
          <w:rStyle w:val="FootnoteReference"/>
          <w:rFonts w:ascii="Trebuchet MS" w:hAnsi="Trebuchet MS"/>
          <w:spacing w:val="20"/>
        </w:rPr>
        <w:footnoteReference w:id="91"/>
      </w:r>
    </w:p>
    <w:p w14:paraId="681DF909" w14:textId="77777777" w:rsidR="00D21D34" w:rsidRPr="00224D00" w:rsidRDefault="00D21D34" w:rsidP="00E47BA8">
      <w:pPr>
        <w:pStyle w:val="ListParagraph"/>
        <w:spacing w:line="480" w:lineRule="auto"/>
        <w:ind w:left="426"/>
        <w:jc w:val="both"/>
        <w:rPr>
          <w:rFonts w:ascii="Trebuchet MS" w:hAnsi="Trebuchet MS"/>
          <w:spacing w:val="20"/>
          <w:sz w:val="16"/>
        </w:rPr>
      </w:pPr>
    </w:p>
    <w:p w14:paraId="06EB8F94" w14:textId="3DCEC701" w:rsidR="004803DF" w:rsidRDefault="00DB48D0" w:rsidP="00E47BA8">
      <w:pPr>
        <w:pStyle w:val="ListParagraph"/>
        <w:spacing w:line="480" w:lineRule="auto"/>
        <w:ind w:left="426"/>
        <w:jc w:val="both"/>
        <w:rPr>
          <w:rFonts w:ascii="Trebuchet MS" w:hAnsi="Trebuchet MS"/>
          <w:spacing w:val="20"/>
        </w:rPr>
      </w:pPr>
      <w:r>
        <w:rPr>
          <w:rFonts w:ascii="Trebuchet MS" w:hAnsi="Trebuchet MS"/>
          <w:spacing w:val="20"/>
        </w:rPr>
        <w:t xml:space="preserve">Similarly, in the case of </w:t>
      </w:r>
      <w:r w:rsidRPr="009A3761">
        <w:rPr>
          <w:rFonts w:ascii="Trebuchet MS" w:hAnsi="Trebuchet MS"/>
          <w:b/>
          <w:i/>
          <w:spacing w:val="20"/>
        </w:rPr>
        <w:t>Nwankwo v. Yar’Adua</w:t>
      </w:r>
      <w:r>
        <w:rPr>
          <w:rFonts w:ascii="Trebuchet MS" w:hAnsi="Trebuchet MS"/>
          <w:b/>
          <w:spacing w:val="20"/>
        </w:rPr>
        <w:t>,</w:t>
      </w:r>
      <w:r>
        <w:rPr>
          <w:rStyle w:val="FootnoteReference"/>
          <w:rFonts w:ascii="Trebuchet MS" w:hAnsi="Trebuchet MS"/>
          <w:b/>
          <w:spacing w:val="20"/>
        </w:rPr>
        <w:footnoteReference w:id="92"/>
      </w:r>
      <w:r>
        <w:rPr>
          <w:rFonts w:ascii="Trebuchet MS" w:hAnsi="Trebuchet MS"/>
          <w:b/>
          <w:spacing w:val="20"/>
        </w:rPr>
        <w:t xml:space="preserve"> </w:t>
      </w:r>
      <w:r w:rsidRPr="009A3761">
        <w:rPr>
          <w:rFonts w:ascii="Trebuchet MS" w:hAnsi="Trebuchet MS"/>
          <w:b/>
          <w:spacing w:val="20"/>
        </w:rPr>
        <w:t>Bada, J. C. A.</w:t>
      </w:r>
      <w:r>
        <w:rPr>
          <w:rFonts w:ascii="Trebuchet MS" w:hAnsi="Trebuchet MS"/>
          <w:spacing w:val="20"/>
        </w:rPr>
        <w:t xml:space="preserve"> held as follows:</w:t>
      </w:r>
    </w:p>
    <w:p w14:paraId="0403DCB2" w14:textId="77777777" w:rsidR="00224D00" w:rsidRPr="00224D00" w:rsidRDefault="00224D00" w:rsidP="00E47BA8">
      <w:pPr>
        <w:pStyle w:val="ListParagraph"/>
        <w:spacing w:line="480" w:lineRule="auto"/>
        <w:ind w:left="426"/>
        <w:jc w:val="both"/>
        <w:rPr>
          <w:rFonts w:ascii="Trebuchet MS" w:hAnsi="Trebuchet MS"/>
          <w:spacing w:val="20"/>
          <w:sz w:val="14"/>
        </w:rPr>
      </w:pPr>
    </w:p>
    <w:p w14:paraId="0220C268" w14:textId="0A58F7BF" w:rsidR="00DB48D0" w:rsidRPr="00B52906" w:rsidRDefault="00DB48D0" w:rsidP="00E47BA8">
      <w:pPr>
        <w:pStyle w:val="ListParagraph"/>
        <w:spacing w:line="480" w:lineRule="auto"/>
        <w:ind w:left="1440"/>
        <w:jc w:val="both"/>
        <w:rPr>
          <w:rFonts w:ascii="Trebuchet MS" w:hAnsi="Trebuchet MS"/>
          <w:spacing w:val="20"/>
        </w:rPr>
      </w:pPr>
      <w:r>
        <w:rPr>
          <w:rFonts w:ascii="Trebuchet MS" w:hAnsi="Trebuchet MS"/>
          <w:spacing w:val="20"/>
        </w:rPr>
        <w:t>“</w:t>
      </w:r>
      <w:r w:rsidRPr="00DB48D0">
        <w:rPr>
          <w:rFonts w:ascii="Trebuchet MS" w:hAnsi="Trebuchet MS"/>
          <w:spacing w:val="20"/>
        </w:rPr>
        <w:t xml:space="preserve">A careful examination of the affidavits and counter affidavits filed in this application would show that no application was made by either party for the issuance of the </w:t>
      </w:r>
      <w:r>
        <w:rPr>
          <w:rFonts w:ascii="Trebuchet MS" w:hAnsi="Trebuchet MS"/>
          <w:spacing w:val="20"/>
        </w:rPr>
        <w:t xml:space="preserve">pre-hearing notice. </w:t>
      </w:r>
      <w:r w:rsidRPr="009A3761">
        <w:rPr>
          <w:rFonts w:ascii="Trebuchet MS" w:hAnsi="Trebuchet MS"/>
          <w:spacing w:val="20"/>
        </w:rPr>
        <w:t>The application which the petitioners/applicants/respondents claimed to have filed on 13/12/2010 is not in compliance with the provisions of paragraph 6(2) of the Practice Directions because it was not made by way of motion. Apart from that, the purported application was filed outside the 7 days provided in paragraph 3(1) of the Practice Directions.</w:t>
      </w:r>
      <w:r>
        <w:rPr>
          <w:rFonts w:ascii="Trebuchet MS" w:hAnsi="Trebuchet MS"/>
          <w:spacing w:val="20"/>
        </w:rPr>
        <w:t>”</w:t>
      </w:r>
    </w:p>
    <w:p w14:paraId="2B39F05C" w14:textId="77777777" w:rsidR="003A62A9" w:rsidRDefault="003A62A9" w:rsidP="00E47BA8">
      <w:pPr>
        <w:pStyle w:val="ListParagraph"/>
        <w:spacing w:line="480" w:lineRule="auto"/>
        <w:ind w:left="426"/>
        <w:jc w:val="both"/>
        <w:rPr>
          <w:rFonts w:ascii="Trebuchet MS" w:hAnsi="Trebuchet MS"/>
          <w:spacing w:val="20"/>
        </w:rPr>
      </w:pPr>
    </w:p>
    <w:p w14:paraId="08F9E815" w14:textId="359A0DC2" w:rsidR="0056658F" w:rsidRDefault="00D21D34" w:rsidP="00E47BA8">
      <w:pPr>
        <w:pStyle w:val="ListParagraph"/>
        <w:spacing w:line="480" w:lineRule="auto"/>
        <w:ind w:left="426"/>
        <w:jc w:val="both"/>
        <w:rPr>
          <w:rFonts w:ascii="Trebuchet MS" w:hAnsi="Trebuchet MS"/>
          <w:spacing w:val="20"/>
        </w:rPr>
      </w:pPr>
      <w:r>
        <w:rPr>
          <w:rFonts w:ascii="Trebuchet MS" w:hAnsi="Trebuchet MS"/>
          <w:spacing w:val="20"/>
        </w:rPr>
        <w:t xml:space="preserve">The other interpretation placed by the some tribunals or court is to the effect that an application for issuance of pre-hearing notice may be by a letter or motion (either on notice or ex-parte). This interpretation is more preferred as </w:t>
      </w:r>
      <w:r w:rsidR="00EC77CE">
        <w:rPr>
          <w:rFonts w:ascii="Trebuchet MS" w:hAnsi="Trebuchet MS"/>
          <w:spacing w:val="20"/>
        </w:rPr>
        <w:t>a thorough examination of the making of such application under Paragraph 18(1)</w:t>
      </w:r>
      <w:r w:rsidR="00EC77CE">
        <w:rPr>
          <w:rStyle w:val="FootnoteReference"/>
          <w:rFonts w:ascii="Trebuchet MS" w:hAnsi="Trebuchet MS"/>
          <w:spacing w:val="20"/>
        </w:rPr>
        <w:footnoteReference w:id="93"/>
      </w:r>
      <w:r w:rsidR="00EC77CE">
        <w:rPr>
          <w:rFonts w:ascii="Trebuchet MS" w:hAnsi="Trebuchet MS"/>
          <w:spacing w:val="20"/>
        </w:rPr>
        <w:t xml:space="preserve"> is purely administrative and not judiciary </w:t>
      </w:r>
      <w:r w:rsidR="004D2262">
        <w:rPr>
          <w:rFonts w:ascii="Trebuchet MS" w:hAnsi="Trebuchet MS"/>
          <w:spacing w:val="20"/>
        </w:rPr>
        <w:t xml:space="preserve">and consequently, </w:t>
      </w:r>
      <w:r>
        <w:rPr>
          <w:rFonts w:ascii="Trebuchet MS" w:hAnsi="Trebuchet MS"/>
          <w:spacing w:val="20"/>
        </w:rPr>
        <w:t xml:space="preserve">accords with </w:t>
      </w:r>
      <w:r w:rsidR="004D2262">
        <w:rPr>
          <w:rFonts w:ascii="Trebuchet MS" w:hAnsi="Trebuchet MS"/>
          <w:spacing w:val="20"/>
        </w:rPr>
        <w:t xml:space="preserve">sense of </w:t>
      </w:r>
      <w:r w:rsidR="00EC77CE">
        <w:rPr>
          <w:rFonts w:ascii="Trebuchet MS" w:hAnsi="Trebuchet MS"/>
          <w:spacing w:val="20"/>
        </w:rPr>
        <w:t xml:space="preserve">reason. </w:t>
      </w:r>
      <w:r w:rsidR="005337EC">
        <w:rPr>
          <w:rFonts w:ascii="Trebuchet MS" w:hAnsi="Trebuchet MS"/>
          <w:spacing w:val="20"/>
        </w:rPr>
        <w:t xml:space="preserve">In the case of </w:t>
      </w:r>
      <w:r w:rsidR="005337EC" w:rsidRPr="00B52906">
        <w:rPr>
          <w:rFonts w:ascii="Trebuchet MS" w:hAnsi="Trebuchet MS"/>
          <w:b/>
          <w:i/>
          <w:spacing w:val="20"/>
        </w:rPr>
        <w:t>Gebi v. Dahiru</w:t>
      </w:r>
      <w:r w:rsidR="0056658F">
        <w:rPr>
          <w:rFonts w:ascii="Trebuchet MS" w:hAnsi="Trebuchet MS"/>
          <w:spacing w:val="20"/>
        </w:rPr>
        <w:t>,</w:t>
      </w:r>
      <w:r w:rsidR="005337EC">
        <w:rPr>
          <w:rStyle w:val="FootnoteReference"/>
          <w:rFonts w:ascii="Trebuchet MS" w:hAnsi="Trebuchet MS"/>
          <w:spacing w:val="20"/>
        </w:rPr>
        <w:footnoteReference w:id="94"/>
      </w:r>
      <w:r w:rsidR="005337EC">
        <w:rPr>
          <w:rFonts w:ascii="Trebuchet MS" w:hAnsi="Trebuchet MS"/>
          <w:spacing w:val="20"/>
        </w:rPr>
        <w:t xml:space="preserve"> </w:t>
      </w:r>
      <w:r w:rsidR="0056658F">
        <w:rPr>
          <w:rFonts w:ascii="Trebuchet MS" w:hAnsi="Trebuchet MS"/>
          <w:spacing w:val="20"/>
        </w:rPr>
        <w:t xml:space="preserve">while concurring with the lead judgment by </w:t>
      </w:r>
      <w:r w:rsidR="0056658F" w:rsidRPr="00B52906">
        <w:rPr>
          <w:rFonts w:ascii="Trebuchet MS" w:hAnsi="Trebuchet MS"/>
          <w:b/>
          <w:spacing w:val="20"/>
        </w:rPr>
        <w:t>Saulawa J.C.A</w:t>
      </w:r>
      <w:r w:rsidR="0056658F">
        <w:rPr>
          <w:rFonts w:ascii="Trebuchet MS" w:hAnsi="Trebuchet MS"/>
          <w:spacing w:val="20"/>
        </w:rPr>
        <w:t xml:space="preserve">, </w:t>
      </w:r>
      <w:r w:rsidR="005337EC" w:rsidRPr="00B52906">
        <w:rPr>
          <w:rFonts w:ascii="Trebuchet MS" w:hAnsi="Trebuchet MS"/>
          <w:b/>
          <w:spacing w:val="20"/>
        </w:rPr>
        <w:t>Dongban-</w:t>
      </w:r>
      <w:r w:rsidR="00247CB0" w:rsidRPr="00247CB0">
        <w:rPr>
          <w:rFonts w:ascii="Trebuchet MS" w:hAnsi="Trebuchet MS"/>
          <w:b/>
          <w:spacing w:val="20"/>
        </w:rPr>
        <w:t>Mensem, J.</w:t>
      </w:r>
      <w:r w:rsidR="00247CB0" w:rsidRPr="00490E90">
        <w:rPr>
          <w:rFonts w:ascii="Trebuchet MS" w:hAnsi="Trebuchet MS"/>
          <w:b/>
          <w:spacing w:val="20"/>
        </w:rPr>
        <w:t>C.</w:t>
      </w:r>
      <w:r w:rsidR="0056658F" w:rsidRPr="00B52906">
        <w:rPr>
          <w:rFonts w:ascii="Trebuchet MS" w:hAnsi="Trebuchet MS"/>
          <w:b/>
          <w:spacing w:val="20"/>
        </w:rPr>
        <w:t>A.</w:t>
      </w:r>
      <w:r w:rsidR="0056658F">
        <w:rPr>
          <w:rFonts w:ascii="Trebuchet MS" w:hAnsi="Trebuchet MS"/>
          <w:spacing w:val="20"/>
        </w:rPr>
        <w:t xml:space="preserve"> held thus:</w:t>
      </w:r>
    </w:p>
    <w:p w14:paraId="36DD0494" w14:textId="7A1802E2" w:rsidR="004D3711" w:rsidRDefault="0056658F" w:rsidP="00E47BA8">
      <w:pPr>
        <w:pStyle w:val="ListParagraph"/>
        <w:spacing w:line="480" w:lineRule="auto"/>
        <w:ind w:left="2160"/>
        <w:jc w:val="both"/>
        <w:rPr>
          <w:rFonts w:ascii="Trebuchet MS" w:hAnsi="Trebuchet MS"/>
          <w:spacing w:val="20"/>
        </w:rPr>
      </w:pPr>
      <w:r>
        <w:rPr>
          <w:rFonts w:ascii="Trebuchet MS" w:hAnsi="Trebuchet MS"/>
          <w:spacing w:val="20"/>
        </w:rPr>
        <w:t xml:space="preserve">“Any method of application, either by a letter, a motion </w:t>
      </w:r>
      <w:r w:rsidRPr="00B52906">
        <w:rPr>
          <w:rFonts w:ascii="Trebuchet MS" w:hAnsi="Trebuchet MS"/>
          <w:i/>
          <w:spacing w:val="20"/>
        </w:rPr>
        <w:t>ex parte</w:t>
      </w:r>
      <w:r>
        <w:rPr>
          <w:rFonts w:ascii="Trebuchet MS" w:hAnsi="Trebuchet MS"/>
          <w:spacing w:val="20"/>
        </w:rPr>
        <w:t xml:space="preserve"> or on notice is acceptable. When an issue arises as in this appeal as to the method of application, the learned members of the tribunal have the discretion to determine whether a letter simpl</w:t>
      </w:r>
      <w:r w:rsidR="00CB77B1">
        <w:rPr>
          <w:rFonts w:ascii="Trebuchet MS" w:hAnsi="Trebuchet MS"/>
          <w:spacing w:val="20"/>
        </w:rPr>
        <w:t>i</w:t>
      </w:r>
      <w:r>
        <w:rPr>
          <w:rFonts w:ascii="Trebuchet MS" w:hAnsi="Trebuchet MS"/>
          <w:spacing w:val="20"/>
        </w:rPr>
        <w:t xml:space="preserve">citer or a motion </w:t>
      </w:r>
      <w:r w:rsidRPr="00B52906">
        <w:rPr>
          <w:rFonts w:ascii="Trebuchet MS" w:hAnsi="Trebuchet MS"/>
          <w:i/>
          <w:spacing w:val="20"/>
        </w:rPr>
        <w:t>ex parte</w:t>
      </w:r>
      <w:r>
        <w:rPr>
          <w:rFonts w:ascii="Trebuchet MS" w:hAnsi="Trebuchet MS"/>
          <w:spacing w:val="20"/>
        </w:rPr>
        <w:t xml:space="preserve"> or a notice is adequate. In my opinion, a lot is required in a request to issue pre-hearing notice. It is the failure to make the request that is fatal to the petition, not the method of making it.”</w:t>
      </w:r>
    </w:p>
    <w:p w14:paraId="23363D9B" w14:textId="77777777" w:rsidR="00224D00" w:rsidRPr="00224D00" w:rsidRDefault="00224D00" w:rsidP="00E47BA8">
      <w:pPr>
        <w:pStyle w:val="ListParagraph"/>
        <w:spacing w:line="480" w:lineRule="auto"/>
        <w:ind w:left="2160"/>
        <w:jc w:val="both"/>
        <w:rPr>
          <w:rFonts w:ascii="Trebuchet MS" w:hAnsi="Trebuchet MS"/>
          <w:spacing w:val="20"/>
          <w:sz w:val="14"/>
        </w:rPr>
      </w:pPr>
    </w:p>
    <w:p w14:paraId="5C2B6F78" w14:textId="54C5FD70" w:rsidR="0056658F" w:rsidRDefault="00F90FB3" w:rsidP="00E47BA8">
      <w:pPr>
        <w:pStyle w:val="ListParagraph"/>
        <w:spacing w:line="480" w:lineRule="auto"/>
        <w:ind w:left="426"/>
        <w:jc w:val="both"/>
        <w:rPr>
          <w:rFonts w:ascii="Trebuchet MS" w:hAnsi="Trebuchet MS"/>
          <w:spacing w:val="20"/>
        </w:rPr>
      </w:pPr>
      <w:r>
        <w:rPr>
          <w:rFonts w:ascii="Trebuchet MS" w:hAnsi="Trebuchet MS"/>
          <w:spacing w:val="20"/>
        </w:rPr>
        <w:t xml:space="preserve">It is pertinent to state that </w:t>
      </w:r>
      <w:r w:rsidR="00D35714">
        <w:rPr>
          <w:rFonts w:ascii="Trebuchet MS" w:hAnsi="Trebuchet MS"/>
          <w:spacing w:val="20"/>
        </w:rPr>
        <w:t xml:space="preserve">these conflicting decisions of the Court of Appeal on </w:t>
      </w:r>
      <w:r>
        <w:rPr>
          <w:rFonts w:ascii="Trebuchet MS" w:hAnsi="Trebuchet MS"/>
          <w:spacing w:val="20"/>
        </w:rPr>
        <w:t>the method of application for issuance of pre-hearing notice</w:t>
      </w:r>
      <w:r w:rsidR="00D35714">
        <w:rPr>
          <w:rFonts w:ascii="Trebuchet MS" w:hAnsi="Trebuchet MS"/>
          <w:spacing w:val="20"/>
        </w:rPr>
        <w:t xml:space="preserve"> has </w:t>
      </w:r>
      <w:r w:rsidR="00042C18">
        <w:rPr>
          <w:rFonts w:ascii="Trebuchet MS" w:hAnsi="Trebuchet MS"/>
          <w:spacing w:val="20"/>
        </w:rPr>
        <w:t xml:space="preserve">now </w:t>
      </w:r>
      <w:r w:rsidR="00D35714">
        <w:rPr>
          <w:rFonts w:ascii="Trebuchet MS" w:hAnsi="Trebuchet MS"/>
          <w:spacing w:val="20"/>
        </w:rPr>
        <w:t xml:space="preserve">been laid to rest by the </w:t>
      </w:r>
      <w:r w:rsidR="00042C18">
        <w:rPr>
          <w:rFonts w:ascii="Trebuchet MS" w:hAnsi="Trebuchet MS"/>
          <w:spacing w:val="20"/>
        </w:rPr>
        <w:t xml:space="preserve">recent decisions of the </w:t>
      </w:r>
      <w:r w:rsidR="00D35714">
        <w:rPr>
          <w:rFonts w:ascii="Trebuchet MS" w:hAnsi="Trebuchet MS"/>
          <w:spacing w:val="20"/>
        </w:rPr>
        <w:t>Supreme Court</w:t>
      </w:r>
      <w:r w:rsidR="00042C18">
        <w:rPr>
          <w:rFonts w:ascii="Trebuchet MS" w:hAnsi="Trebuchet MS"/>
          <w:spacing w:val="20"/>
        </w:rPr>
        <w:t>.</w:t>
      </w:r>
      <w:r w:rsidR="00D35714">
        <w:rPr>
          <w:rFonts w:ascii="Trebuchet MS" w:hAnsi="Trebuchet MS"/>
          <w:spacing w:val="20"/>
        </w:rPr>
        <w:t xml:space="preserve"> One of such is</w:t>
      </w:r>
      <w:r w:rsidR="00C80404">
        <w:rPr>
          <w:rFonts w:ascii="Trebuchet MS" w:hAnsi="Trebuchet MS"/>
          <w:spacing w:val="20"/>
        </w:rPr>
        <w:t xml:space="preserve"> the case of </w:t>
      </w:r>
      <w:r w:rsidR="00C80404" w:rsidRPr="00B52906">
        <w:rPr>
          <w:rFonts w:ascii="Trebuchet MS" w:hAnsi="Trebuchet MS"/>
          <w:b/>
          <w:i/>
          <w:spacing w:val="20"/>
        </w:rPr>
        <w:t>Ugba v. P.D.P.</w:t>
      </w:r>
      <w:r w:rsidR="00C80404">
        <w:rPr>
          <w:rStyle w:val="FootnoteReference"/>
          <w:rFonts w:ascii="Trebuchet MS" w:hAnsi="Trebuchet MS"/>
          <w:spacing w:val="20"/>
        </w:rPr>
        <w:footnoteReference w:id="95"/>
      </w:r>
      <w:r w:rsidR="00D35714">
        <w:rPr>
          <w:rFonts w:ascii="Trebuchet MS" w:hAnsi="Trebuchet MS"/>
          <w:spacing w:val="20"/>
        </w:rPr>
        <w:t xml:space="preserve"> </w:t>
      </w:r>
      <w:r w:rsidR="00D054EC">
        <w:rPr>
          <w:rFonts w:ascii="Trebuchet MS" w:hAnsi="Trebuchet MS"/>
          <w:spacing w:val="20"/>
        </w:rPr>
        <w:t>While interpreting the provision of paragraph 18(1),</w:t>
      </w:r>
      <w:r w:rsidR="00D054EC">
        <w:rPr>
          <w:rStyle w:val="FootnoteReference"/>
          <w:rFonts w:ascii="Trebuchet MS" w:hAnsi="Trebuchet MS"/>
          <w:spacing w:val="20"/>
        </w:rPr>
        <w:footnoteReference w:id="96"/>
      </w:r>
      <w:r w:rsidR="00D054EC">
        <w:rPr>
          <w:rFonts w:ascii="Trebuchet MS" w:hAnsi="Trebuchet MS"/>
          <w:spacing w:val="20"/>
        </w:rPr>
        <w:t xml:space="preserve"> </w:t>
      </w:r>
      <w:r w:rsidR="00653FE1">
        <w:rPr>
          <w:rFonts w:ascii="Trebuchet MS" w:hAnsi="Trebuchet MS"/>
          <w:spacing w:val="20"/>
        </w:rPr>
        <w:t>While allowing the Petitioner</w:t>
      </w:r>
      <w:r w:rsidR="00915B67">
        <w:rPr>
          <w:rFonts w:ascii="Trebuchet MS" w:hAnsi="Trebuchet MS"/>
          <w:spacing w:val="20"/>
        </w:rPr>
        <w:t>s</w:t>
      </w:r>
      <w:r w:rsidR="00653FE1">
        <w:rPr>
          <w:rFonts w:ascii="Trebuchet MS" w:hAnsi="Trebuchet MS"/>
          <w:spacing w:val="20"/>
        </w:rPr>
        <w:t>/Appellants</w:t>
      </w:r>
      <w:r w:rsidR="00915B67">
        <w:rPr>
          <w:rFonts w:ascii="Trebuchet MS" w:hAnsi="Trebuchet MS"/>
          <w:spacing w:val="20"/>
        </w:rPr>
        <w:t>’</w:t>
      </w:r>
      <w:r w:rsidR="00653FE1">
        <w:rPr>
          <w:rFonts w:ascii="Trebuchet MS" w:hAnsi="Trebuchet MS"/>
          <w:spacing w:val="20"/>
        </w:rPr>
        <w:t xml:space="preserve"> appeal</w:t>
      </w:r>
      <w:r w:rsidR="00D479DC">
        <w:rPr>
          <w:rFonts w:ascii="Trebuchet MS" w:hAnsi="Trebuchet MS"/>
          <w:spacing w:val="20"/>
        </w:rPr>
        <w:t>,</w:t>
      </w:r>
      <w:r w:rsidR="00653FE1">
        <w:rPr>
          <w:rFonts w:ascii="Trebuchet MS" w:hAnsi="Trebuchet MS"/>
          <w:spacing w:val="20"/>
        </w:rPr>
        <w:t xml:space="preserve"> </w:t>
      </w:r>
      <w:r w:rsidR="00D054EC" w:rsidRPr="00B52906">
        <w:rPr>
          <w:rFonts w:ascii="Trebuchet MS" w:hAnsi="Trebuchet MS"/>
          <w:b/>
          <w:spacing w:val="20"/>
        </w:rPr>
        <w:t>Onnoghen J.S.C.</w:t>
      </w:r>
      <w:r w:rsidR="00D054EC">
        <w:rPr>
          <w:rFonts w:ascii="Trebuchet MS" w:hAnsi="Trebuchet MS"/>
          <w:spacing w:val="20"/>
        </w:rPr>
        <w:t xml:space="preserve"> held thus:</w:t>
      </w:r>
    </w:p>
    <w:p w14:paraId="432E4C79" w14:textId="0EF7D380" w:rsidR="00D054EC" w:rsidRDefault="00D054EC" w:rsidP="00E47BA8">
      <w:pPr>
        <w:pStyle w:val="ListParagraph"/>
        <w:spacing w:line="480" w:lineRule="auto"/>
        <w:ind w:left="1440"/>
        <w:jc w:val="both"/>
        <w:rPr>
          <w:rFonts w:ascii="Trebuchet MS" w:hAnsi="Trebuchet MS"/>
          <w:spacing w:val="20"/>
        </w:rPr>
      </w:pPr>
      <w:r>
        <w:rPr>
          <w:rFonts w:ascii="Trebuchet MS" w:hAnsi="Trebuchet MS"/>
          <w:spacing w:val="20"/>
        </w:rPr>
        <w:t xml:space="preserve">“It is my further view that the application required under the said paragraph 18(1) can be made either by letter or </w:t>
      </w:r>
      <w:r w:rsidRPr="00B52906">
        <w:rPr>
          <w:rFonts w:ascii="Trebuchet MS" w:hAnsi="Trebuchet MS"/>
          <w:i/>
          <w:spacing w:val="20"/>
        </w:rPr>
        <w:t>ex parte</w:t>
      </w:r>
      <w:r>
        <w:rPr>
          <w:rFonts w:ascii="Trebuchet MS" w:hAnsi="Trebuchet MS"/>
          <w:i/>
          <w:spacing w:val="20"/>
        </w:rPr>
        <w:t xml:space="preserve"> </w:t>
      </w:r>
      <w:r>
        <w:rPr>
          <w:rFonts w:ascii="Trebuchet MS" w:hAnsi="Trebuchet MS"/>
          <w:spacing w:val="20"/>
        </w:rPr>
        <w:t>motion or on notice, the matter being purely an administrative act, not judicial or quasi-judicial.”</w:t>
      </w:r>
    </w:p>
    <w:p w14:paraId="72E62BD6" w14:textId="77777777" w:rsidR="00224D00" w:rsidRPr="00224D00" w:rsidRDefault="00224D00" w:rsidP="00E47BA8">
      <w:pPr>
        <w:pStyle w:val="ListParagraph"/>
        <w:spacing w:line="480" w:lineRule="auto"/>
        <w:ind w:left="1440"/>
        <w:jc w:val="both"/>
        <w:rPr>
          <w:rFonts w:ascii="Trebuchet MS" w:hAnsi="Trebuchet MS"/>
          <w:spacing w:val="20"/>
          <w:sz w:val="14"/>
        </w:rPr>
      </w:pPr>
    </w:p>
    <w:p w14:paraId="5CB314B2" w14:textId="769F4172" w:rsidR="00D054EC" w:rsidRDefault="00F23D00" w:rsidP="00E47BA8">
      <w:pPr>
        <w:pStyle w:val="ListParagraph"/>
        <w:spacing w:line="480" w:lineRule="auto"/>
        <w:ind w:left="426"/>
        <w:jc w:val="both"/>
        <w:rPr>
          <w:rFonts w:ascii="Trebuchet MS" w:hAnsi="Trebuchet MS"/>
          <w:spacing w:val="20"/>
        </w:rPr>
      </w:pPr>
      <w:r>
        <w:rPr>
          <w:rFonts w:ascii="Trebuchet MS" w:hAnsi="Trebuchet MS"/>
          <w:spacing w:val="20"/>
        </w:rPr>
        <w:t xml:space="preserve">In the same vein, </w:t>
      </w:r>
      <w:r w:rsidR="008A58FB">
        <w:rPr>
          <w:rFonts w:ascii="Trebuchet MS" w:hAnsi="Trebuchet MS"/>
          <w:spacing w:val="20"/>
        </w:rPr>
        <w:t xml:space="preserve">while interpreting the provision of Paragraph 18(1) of the First Schedule to the Electoral Act, 2010 (as amended), Tabai J.S.C., in </w:t>
      </w:r>
      <w:r w:rsidR="008A58FB" w:rsidRPr="00B52906">
        <w:rPr>
          <w:rFonts w:ascii="Trebuchet MS" w:hAnsi="Trebuchet MS"/>
          <w:b/>
          <w:i/>
          <w:spacing w:val="20"/>
        </w:rPr>
        <w:t>Abubakar v. Nasamu (No. 2)</w:t>
      </w:r>
      <w:r w:rsidR="008A58FB">
        <w:rPr>
          <w:rStyle w:val="FootnoteReference"/>
          <w:rFonts w:ascii="Trebuchet MS" w:hAnsi="Trebuchet MS"/>
          <w:spacing w:val="20"/>
        </w:rPr>
        <w:footnoteReference w:id="97"/>
      </w:r>
      <w:r w:rsidR="008A58FB">
        <w:rPr>
          <w:rFonts w:ascii="Trebuchet MS" w:hAnsi="Trebuchet MS"/>
          <w:spacing w:val="20"/>
        </w:rPr>
        <w:t xml:space="preserve"> held thus:</w:t>
      </w:r>
    </w:p>
    <w:p w14:paraId="1BF4FC7A" w14:textId="77777777" w:rsidR="00FE5D44" w:rsidRPr="00224D00" w:rsidRDefault="00FE5D44" w:rsidP="00E47BA8">
      <w:pPr>
        <w:pStyle w:val="ListParagraph"/>
        <w:spacing w:line="480" w:lineRule="auto"/>
        <w:ind w:left="426"/>
        <w:jc w:val="both"/>
        <w:rPr>
          <w:rFonts w:ascii="Trebuchet MS" w:hAnsi="Trebuchet MS"/>
          <w:spacing w:val="20"/>
          <w:sz w:val="14"/>
        </w:rPr>
      </w:pPr>
    </w:p>
    <w:p w14:paraId="345687AA" w14:textId="459B64E3" w:rsidR="008A58FB" w:rsidRDefault="00FE5D44" w:rsidP="00E47BA8">
      <w:pPr>
        <w:pStyle w:val="ListParagraph"/>
        <w:spacing w:line="480" w:lineRule="auto"/>
        <w:ind w:left="1440" w:firstLine="720"/>
        <w:jc w:val="both"/>
        <w:rPr>
          <w:rFonts w:ascii="Trebuchet MS" w:hAnsi="Trebuchet MS"/>
          <w:spacing w:val="20"/>
        </w:rPr>
      </w:pPr>
      <w:r>
        <w:rPr>
          <w:rFonts w:ascii="Trebuchet MS" w:hAnsi="Trebuchet MS"/>
          <w:spacing w:val="20"/>
        </w:rPr>
        <w:t xml:space="preserve">“Next is paragraph 18(3) </w:t>
      </w:r>
      <w:r w:rsidRPr="00FE5D44">
        <w:rPr>
          <w:rFonts w:ascii="Trebuchet MS" w:hAnsi="Trebuchet MS"/>
          <w:spacing w:val="20"/>
        </w:rPr>
        <w:t>which applies only to the respondent to the petition in the event of the petitioner’s failure to apply for the issuance of the pre-hearing session notice. Under this provision, the respondent to the petition is at liberty to pursue either of two options open to hum. He may, like the petitioner, bring an application for the issuance of pre-hearing session notice. In such a situation, the respondent has no obligation to serve the application on the petitioner, it being in the nature of an expected application. Alternatively and most importantly, he may bring an application by way of a motion which shall be served on the petitioner to dismiss the petition, (sic) In my view, the purpose and necessary intendment of the provision is quite clear. There is no ambiguity whatsoever as to the distinction between “an application” simpliciter and a “motion”. I agree with learned senior counsel for the petitioners/appellants that the distinction is deliberately set out ‘in the provision. The provision separates the period of the pre-hearing session from the period immediately preceding it. The clear meaning of the provision is that at or during the period of the pre-hearing session all applications must be by way of motion. But at the period before the commencement of the pre-hearing session, an application need not be by a motion. It can be in the form of a letter as was done in this case.</w:t>
      </w:r>
    </w:p>
    <w:p w14:paraId="61FB6DD4" w14:textId="0A9A740C" w:rsidR="00FE5D44" w:rsidRDefault="00FE5D44" w:rsidP="00E47BA8">
      <w:pPr>
        <w:pStyle w:val="ListParagraph"/>
        <w:spacing w:line="480" w:lineRule="auto"/>
        <w:ind w:left="1440" w:firstLine="720"/>
        <w:jc w:val="both"/>
        <w:rPr>
          <w:rFonts w:ascii="Trebuchet MS" w:hAnsi="Trebuchet MS"/>
          <w:spacing w:val="20"/>
        </w:rPr>
      </w:pPr>
      <w:r w:rsidRPr="00FE5D44">
        <w:rPr>
          <w:rFonts w:ascii="Trebuchet MS" w:hAnsi="Trebuchet MS"/>
          <w:spacing w:val="20"/>
        </w:rPr>
        <w:t>I hold therefore that in the absence of any special mode by which an application can be made at the period preceding the commencement of the pre-hearing session the appellants’ letter dated the 14</w:t>
      </w:r>
      <w:r w:rsidRPr="00FE5D44">
        <w:rPr>
          <w:rFonts w:ascii="Trebuchet MS" w:hAnsi="Trebuchet MS"/>
          <w:spacing w:val="20"/>
          <w:vertAlign w:val="superscript"/>
        </w:rPr>
        <w:t>th</w:t>
      </w:r>
      <w:r w:rsidRPr="00FE5D44">
        <w:rPr>
          <w:rFonts w:ascii="Trebuchet MS" w:hAnsi="Trebuchet MS"/>
          <w:spacing w:val="20"/>
        </w:rPr>
        <w:t xml:space="preserve"> June, 2011 is an application within the meaning of paragraph 18(1) of the First Schedule to the Electoral Act 2010 (as amended). The letter constitutes a sufficient compliance with the requirements of the provision.</w:t>
      </w:r>
    </w:p>
    <w:p w14:paraId="6DD58EB5" w14:textId="28EA9E61" w:rsidR="00FE5D44" w:rsidRDefault="00D30C83" w:rsidP="00E47BA8">
      <w:pPr>
        <w:spacing w:line="480" w:lineRule="auto"/>
        <w:ind w:left="1440" w:firstLine="720"/>
        <w:contextualSpacing/>
        <w:jc w:val="both"/>
        <w:rPr>
          <w:rFonts w:ascii="Trebuchet MS" w:hAnsi="Trebuchet MS"/>
          <w:spacing w:val="20"/>
        </w:rPr>
      </w:pPr>
      <w:r w:rsidRPr="00D30C83">
        <w:rPr>
          <w:rFonts w:ascii="Trebuchet MS" w:hAnsi="Trebuchet MS"/>
          <w:spacing w:val="20"/>
        </w:rPr>
        <w:t>This view is further supported by the provision of paragraph 47(1) of the First Schedule to the Electoral Act which requires all motions to be brought and disposed of at or during the pre-hearing session. The provision further circumscribes the period at which an application shall be made by way of a motion as provided in paragraph 47(1) of the First Schedule to the Act. Paragraph 47(1) therefore confirms the operations of Paragraph 47(2) to the period during the pre-hearing session. It is clear that a combined reading of Paragraph 18(1) (3) and (4) and Paragraph 47(1) and (2) of the First Schedule to the Electoral Act 2010 (as amended) that the petitioners/appellants’ letter of the 14</w:t>
      </w:r>
      <w:r w:rsidRPr="00D30C83">
        <w:rPr>
          <w:rFonts w:ascii="Trebuchet MS" w:hAnsi="Trebuchet MS"/>
          <w:spacing w:val="20"/>
          <w:vertAlign w:val="superscript"/>
        </w:rPr>
        <w:t>th</w:t>
      </w:r>
      <w:r w:rsidRPr="00D30C83">
        <w:rPr>
          <w:rFonts w:ascii="Trebuchet MS" w:hAnsi="Trebuchet MS"/>
          <w:spacing w:val="20"/>
        </w:rPr>
        <w:t xml:space="preserve"> of June, 2011 is sufficient compliance with the requirements of the law to activate the pre-hearing session.</w:t>
      </w:r>
      <w:r w:rsidR="00224D00">
        <w:rPr>
          <w:rFonts w:ascii="Trebuchet MS" w:hAnsi="Trebuchet MS"/>
          <w:spacing w:val="20"/>
        </w:rPr>
        <w:t>”</w:t>
      </w:r>
    </w:p>
    <w:p w14:paraId="4BCAAF60" w14:textId="77777777" w:rsidR="00224D00" w:rsidRPr="003D7E62" w:rsidRDefault="00224D00" w:rsidP="00E47BA8">
      <w:pPr>
        <w:spacing w:line="480" w:lineRule="auto"/>
        <w:contextualSpacing/>
        <w:jc w:val="both"/>
        <w:rPr>
          <w:rFonts w:ascii="Trebuchet MS" w:hAnsi="Trebuchet MS"/>
          <w:spacing w:val="20"/>
          <w:sz w:val="14"/>
        </w:rPr>
      </w:pPr>
    </w:p>
    <w:p w14:paraId="31E5DDCC" w14:textId="5170AB85" w:rsidR="00325665" w:rsidRPr="00B52906" w:rsidRDefault="00177779" w:rsidP="00E47BA8">
      <w:pPr>
        <w:spacing w:line="480" w:lineRule="auto"/>
        <w:ind w:left="426"/>
        <w:contextualSpacing/>
        <w:jc w:val="both"/>
        <w:rPr>
          <w:rFonts w:ascii="Trebuchet MS" w:hAnsi="Trebuchet MS"/>
          <w:spacing w:val="20"/>
        </w:rPr>
      </w:pPr>
      <w:r>
        <w:rPr>
          <w:rFonts w:ascii="Trebuchet MS" w:hAnsi="Trebuchet MS"/>
          <w:spacing w:val="20"/>
        </w:rPr>
        <w:t>The point we are making here is of what effect is the use of the letter or motion to the determination of the matter submitted before the Tribunal. Of course, as indicated above, as an administrative act, a letter will certainly suffice. However, it will interest you to know that several cases could not be heard on the merit due to the fac</w:t>
      </w:r>
      <w:r w:rsidR="0048667A">
        <w:rPr>
          <w:rFonts w:ascii="Trebuchet MS" w:hAnsi="Trebuchet MS"/>
          <w:spacing w:val="20"/>
        </w:rPr>
        <w:t xml:space="preserve">t that </w:t>
      </w:r>
      <w:r w:rsidR="00B77AED">
        <w:rPr>
          <w:rFonts w:ascii="Trebuchet MS" w:hAnsi="Trebuchet MS"/>
          <w:spacing w:val="20"/>
        </w:rPr>
        <w:t xml:space="preserve">by </w:t>
      </w:r>
      <w:r w:rsidR="0048667A">
        <w:rPr>
          <w:rFonts w:ascii="Trebuchet MS" w:hAnsi="Trebuchet MS"/>
          <w:spacing w:val="20"/>
        </w:rPr>
        <w:t>the</w:t>
      </w:r>
      <w:r w:rsidR="00B77AED">
        <w:rPr>
          <w:rFonts w:ascii="Trebuchet MS" w:hAnsi="Trebuchet MS"/>
          <w:spacing w:val="20"/>
        </w:rPr>
        <w:t xml:space="preserve"> </w:t>
      </w:r>
      <w:r w:rsidR="0048667A">
        <w:rPr>
          <w:rFonts w:ascii="Trebuchet MS" w:hAnsi="Trebuchet MS"/>
          <w:spacing w:val="20"/>
        </w:rPr>
        <w:t>time the S</w:t>
      </w:r>
      <w:r>
        <w:rPr>
          <w:rFonts w:ascii="Trebuchet MS" w:hAnsi="Trebuchet MS"/>
          <w:spacing w:val="20"/>
        </w:rPr>
        <w:t>up</w:t>
      </w:r>
      <w:r w:rsidR="0048667A">
        <w:rPr>
          <w:rFonts w:ascii="Trebuchet MS" w:hAnsi="Trebuchet MS"/>
          <w:spacing w:val="20"/>
        </w:rPr>
        <w:t>reme C</w:t>
      </w:r>
      <w:r>
        <w:rPr>
          <w:rFonts w:ascii="Trebuchet MS" w:hAnsi="Trebuchet MS"/>
          <w:spacing w:val="20"/>
        </w:rPr>
        <w:t>ourt could resolve this inconsequential issue, the statutory period of 180 days had elapsed</w:t>
      </w:r>
      <w:r w:rsidR="00155070">
        <w:rPr>
          <w:rFonts w:ascii="Trebuchet MS" w:hAnsi="Trebuchet MS"/>
          <w:spacing w:val="20"/>
        </w:rPr>
        <w:t>,</w:t>
      </w:r>
      <w:r>
        <w:rPr>
          <w:rFonts w:ascii="Trebuchet MS" w:hAnsi="Trebuchet MS"/>
          <w:spacing w:val="20"/>
        </w:rPr>
        <w:t xml:space="preserve"> </w:t>
      </w:r>
      <w:r w:rsidR="00155070">
        <w:rPr>
          <w:rFonts w:ascii="Trebuchet MS" w:hAnsi="Trebuchet MS"/>
          <w:spacing w:val="20"/>
        </w:rPr>
        <w:t>t</w:t>
      </w:r>
      <w:r>
        <w:rPr>
          <w:rFonts w:ascii="Trebuchet MS" w:hAnsi="Trebuchet MS"/>
          <w:spacing w:val="20"/>
        </w:rPr>
        <w:t xml:space="preserve">hereby depriving the petitioner any form of hearing and by extension justice. </w:t>
      </w:r>
      <w:r w:rsidR="00155070">
        <w:rPr>
          <w:rFonts w:ascii="Trebuchet MS" w:hAnsi="Trebuchet MS"/>
          <w:spacing w:val="20"/>
        </w:rPr>
        <w:t xml:space="preserve">See the cases of </w:t>
      </w:r>
      <w:r w:rsidR="00155070" w:rsidRPr="00B13495">
        <w:rPr>
          <w:rFonts w:ascii="Trebuchet MS" w:hAnsi="Trebuchet MS"/>
          <w:b/>
          <w:i/>
          <w:spacing w:val="20"/>
        </w:rPr>
        <w:t>Ugba v. Suswan</w:t>
      </w:r>
      <w:r w:rsidR="007E18F1">
        <w:rPr>
          <w:rFonts w:ascii="Trebuchet MS" w:hAnsi="Trebuchet MS"/>
          <w:b/>
          <w:i/>
          <w:spacing w:val="20"/>
        </w:rPr>
        <w:t>,</w:t>
      </w:r>
      <w:r w:rsidR="00155070">
        <w:rPr>
          <w:rStyle w:val="FootnoteReference"/>
          <w:rFonts w:ascii="Trebuchet MS" w:hAnsi="Trebuchet MS"/>
          <w:spacing w:val="20"/>
        </w:rPr>
        <w:footnoteReference w:id="98"/>
      </w:r>
      <w:r w:rsidR="007E18F1">
        <w:rPr>
          <w:rFonts w:ascii="Trebuchet MS" w:hAnsi="Trebuchet MS"/>
          <w:spacing w:val="20"/>
        </w:rPr>
        <w:t xml:space="preserve"> </w:t>
      </w:r>
      <w:r w:rsidR="007E18F1" w:rsidRPr="00074805">
        <w:rPr>
          <w:rFonts w:ascii="Trebuchet MS" w:hAnsi="Trebuchet MS"/>
          <w:b/>
          <w:i/>
          <w:spacing w:val="20"/>
        </w:rPr>
        <w:t>A.N.P.P. v. Goni</w:t>
      </w:r>
      <w:r w:rsidR="007E18F1">
        <w:rPr>
          <w:rStyle w:val="FootnoteReference"/>
          <w:rFonts w:ascii="Trebuchet MS" w:hAnsi="Trebuchet MS"/>
          <w:spacing w:val="20"/>
        </w:rPr>
        <w:footnoteReference w:id="99"/>
      </w:r>
    </w:p>
    <w:p w14:paraId="018DDE8B" w14:textId="77777777" w:rsidR="00A44A86" w:rsidRPr="00B52906" w:rsidRDefault="00A44A86" w:rsidP="00E47BA8">
      <w:pPr>
        <w:spacing w:line="480" w:lineRule="auto"/>
        <w:contextualSpacing/>
        <w:jc w:val="both"/>
        <w:rPr>
          <w:rFonts w:ascii="Trebuchet MS" w:hAnsi="Trebuchet MS"/>
          <w:spacing w:val="20"/>
        </w:rPr>
      </w:pPr>
    </w:p>
    <w:p w14:paraId="212DFA54" w14:textId="7E775370" w:rsidR="003B42D8" w:rsidRPr="0040482E" w:rsidRDefault="00224D00" w:rsidP="00E47BA8">
      <w:pPr>
        <w:pStyle w:val="ListParagraph"/>
        <w:numPr>
          <w:ilvl w:val="0"/>
          <w:numId w:val="19"/>
        </w:numPr>
        <w:spacing w:line="480" w:lineRule="auto"/>
        <w:ind w:left="426"/>
        <w:jc w:val="both"/>
        <w:rPr>
          <w:rFonts w:ascii="Trebuchet MS" w:hAnsi="Trebuchet MS"/>
          <w:spacing w:val="20"/>
        </w:rPr>
      </w:pPr>
      <w:r w:rsidRPr="003D7E62">
        <w:rPr>
          <w:rFonts w:ascii="Trebuchet MS" w:hAnsi="Trebuchet MS"/>
          <w:b/>
          <w:spacing w:val="20"/>
        </w:rPr>
        <w:t>S</w:t>
      </w:r>
      <w:r w:rsidR="008508D2" w:rsidRPr="003D7E62">
        <w:rPr>
          <w:rFonts w:ascii="Trebuchet MS" w:hAnsi="Trebuchet MS"/>
          <w:b/>
          <w:spacing w:val="20"/>
        </w:rPr>
        <w:t xml:space="preserve">tatus </w:t>
      </w:r>
      <w:r w:rsidR="00E8392D" w:rsidRPr="003D7E62">
        <w:rPr>
          <w:rFonts w:ascii="Trebuchet MS" w:hAnsi="Trebuchet MS"/>
          <w:b/>
          <w:spacing w:val="20"/>
        </w:rPr>
        <w:t xml:space="preserve">of Practice Direction vis-à-vis the Rules of Court and </w:t>
      </w:r>
      <w:r w:rsidR="00A7552E" w:rsidRPr="003D7E62">
        <w:rPr>
          <w:rFonts w:ascii="Trebuchet MS" w:hAnsi="Trebuchet MS"/>
          <w:b/>
          <w:spacing w:val="20"/>
        </w:rPr>
        <w:t>statutory provisions</w:t>
      </w:r>
      <w:r w:rsidR="00E8392D" w:rsidRPr="00FC2475">
        <w:rPr>
          <w:rFonts w:ascii="Trebuchet MS" w:hAnsi="Trebuchet MS"/>
          <w:spacing w:val="20"/>
        </w:rPr>
        <w:t xml:space="preserve">:- </w:t>
      </w:r>
      <w:r w:rsidR="00EB3374" w:rsidRPr="008C34EE">
        <w:rPr>
          <w:rFonts w:ascii="Trebuchet MS" w:hAnsi="Trebuchet MS"/>
          <w:spacing w:val="20"/>
        </w:rPr>
        <w:t>Practice Direction is a direction given by an appropriate authority stating the way and manner a particular rule of court shall be complied with, observed and obeyed while Rules of court</w:t>
      </w:r>
      <w:r w:rsidR="00EB3374" w:rsidRPr="004355E6">
        <w:rPr>
          <w:rFonts w:ascii="Trebuchet MS" w:hAnsi="Trebuchet MS"/>
          <w:spacing w:val="20"/>
        </w:rPr>
        <w:t xml:space="preserve"> are to regulate matter</w:t>
      </w:r>
      <w:r w:rsidR="00EB3374" w:rsidRPr="0006591B">
        <w:rPr>
          <w:rFonts w:ascii="Trebuchet MS" w:hAnsi="Trebuchet MS"/>
          <w:spacing w:val="20"/>
        </w:rPr>
        <w:t>s in court and help parties in the presentation of their case within a procedure made for the purpose of a fair and quick trial.</w:t>
      </w:r>
      <w:r w:rsidR="00EB3374">
        <w:rPr>
          <w:rStyle w:val="FootnoteReference"/>
          <w:rFonts w:ascii="Trebuchet MS" w:hAnsi="Trebuchet MS"/>
          <w:spacing w:val="20"/>
        </w:rPr>
        <w:footnoteReference w:id="100"/>
      </w:r>
      <w:r w:rsidR="00EB3374" w:rsidRPr="00D12F02">
        <w:rPr>
          <w:rFonts w:ascii="Trebuchet MS" w:hAnsi="Trebuchet MS"/>
          <w:spacing w:val="20"/>
        </w:rPr>
        <w:t xml:space="preserve"> </w:t>
      </w:r>
      <w:r w:rsidR="00082A5F" w:rsidRPr="0040482E">
        <w:rPr>
          <w:rFonts w:ascii="Trebuchet MS" w:hAnsi="Trebuchet MS"/>
          <w:spacing w:val="20"/>
        </w:rPr>
        <w:t>Rules of Court and Practice</w:t>
      </w:r>
      <w:r w:rsidR="00082A5F" w:rsidRPr="00D1672B">
        <w:rPr>
          <w:rFonts w:ascii="Trebuchet MS" w:hAnsi="Trebuchet MS"/>
          <w:spacing w:val="20"/>
        </w:rPr>
        <w:t xml:space="preserve"> Direction are rules touching on the administration of justice and </w:t>
      </w:r>
      <w:r w:rsidR="00082A5F" w:rsidRPr="00405400">
        <w:rPr>
          <w:rFonts w:ascii="Trebuchet MS" w:hAnsi="Trebuchet MS"/>
          <w:spacing w:val="20"/>
        </w:rPr>
        <w:t>established</w:t>
      </w:r>
      <w:r w:rsidR="00082A5F" w:rsidRPr="0046788A">
        <w:rPr>
          <w:rFonts w:ascii="Trebuchet MS" w:hAnsi="Trebuchet MS"/>
          <w:spacing w:val="20"/>
        </w:rPr>
        <w:t xml:space="preserve"> </w:t>
      </w:r>
      <w:r w:rsidR="00082A5F" w:rsidRPr="00FE202F">
        <w:rPr>
          <w:rFonts w:ascii="Trebuchet MS" w:hAnsi="Trebuchet MS"/>
          <w:spacing w:val="20"/>
        </w:rPr>
        <w:t>for attaining justic</w:t>
      </w:r>
      <w:r w:rsidR="00082A5F" w:rsidRPr="00FC2475">
        <w:rPr>
          <w:rFonts w:ascii="Trebuchet MS" w:hAnsi="Trebuchet MS"/>
          <w:spacing w:val="20"/>
        </w:rPr>
        <w:t>e with ease, certainty and dispatch.</w:t>
      </w:r>
      <w:r w:rsidR="00A7552E" w:rsidRPr="008C34EE">
        <w:rPr>
          <w:rFonts w:ascii="Trebuchet MS" w:hAnsi="Trebuchet MS"/>
          <w:spacing w:val="20"/>
        </w:rPr>
        <w:t xml:space="preserve"> Practice </w:t>
      </w:r>
      <w:r w:rsidR="00A7552E" w:rsidRPr="004355E6">
        <w:rPr>
          <w:rFonts w:ascii="Trebuchet MS" w:hAnsi="Trebuchet MS"/>
          <w:spacing w:val="20"/>
        </w:rPr>
        <w:t>Direction do not have the authority of rules of court. Although they are</w:t>
      </w:r>
      <w:r w:rsidR="00082A5F" w:rsidRPr="0006591B">
        <w:rPr>
          <w:rFonts w:ascii="Trebuchet MS" w:hAnsi="Trebuchet MS"/>
          <w:spacing w:val="20"/>
        </w:rPr>
        <w:t xml:space="preserve"> </w:t>
      </w:r>
      <w:r w:rsidR="00A7552E" w:rsidRPr="00AD5C6D">
        <w:rPr>
          <w:rFonts w:ascii="Trebuchet MS" w:hAnsi="Trebuchet MS"/>
          <w:spacing w:val="20"/>
        </w:rPr>
        <w:t>instructions in aid of the practice in court. They cannot</w:t>
      </w:r>
      <w:r w:rsidR="00180041" w:rsidRPr="0030684E">
        <w:rPr>
          <w:rFonts w:ascii="Trebuchet MS" w:hAnsi="Trebuchet MS"/>
          <w:spacing w:val="20"/>
        </w:rPr>
        <w:t xml:space="preserve"> by themselves overrule </w:t>
      </w:r>
      <w:r w:rsidR="00626066" w:rsidRPr="000E354D">
        <w:rPr>
          <w:rFonts w:ascii="Trebuchet MS" w:hAnsi="Trebuchet MS"/>
          <w:spacing w:val="20"/>
        </w:rPr>
        <w:t>court decisions</w:t>
      </w:r>
      <w:r w:rsidR="003613D1" w:rsidRPr="008812A6">
        <w:rPr>
          <w:rFonts w:ascii="Trebuchet MS" w:hAnsi="Trebuchet MS"/>
          <w:spacing w:val="20"/>
        </w:rPr>
        <w:t>.</w:t>
      </w:r>
      <w:r w:rsidR="00626066">
        <w:rPr>
          <w:rStyle w:val="FootnoteReference"/>
          <w:rFonts w:ascii="Trebuchet MS" w:hAnsi="Trebuchet MS"/>
          <w:spacing w:val="20"/>
        </w:rPr>
        <w:footnoteReference w:id="101"/>
      </w:r>
      <w:r w:rsidR="00D617A4" w:rsidRPr="00D12F02">
        <w:rPr>
          <w:rFonts w:ascii="Trebuchet MS" w:hAnsi="Trebuchet MS"/>
          <w:spacing w:val="20"/>
        </w:rPr>
        <w:t xml:space="preserve"> </w:t>
      </w:r>
      <w:r w:rsidR="003613D1" w:rsidRPr="0040482E">
        <w:rPr>
          <w:rFonts w:ascii="Trebuchet MS" w:hAnsi="Trebuchet MS"/>
          <w:spacing w:val="20"/>
        </w:rPr>
        <w:t>Consequently, practice directions have</w:t>
      </w:r>
      <w:r w:rsidR="00733247" w:rsidRPr="00D1672B">
        <w:rPr>
          <w:rFonts w:ascii="Trebuchet MS" w:hAnsi="Trebuchet MS"/>
          <w:spacing w:val="20"/>
        </w:rPr>
        <w:t xml:space="preserve"> no force </w:t>
      </w:r>
      <w:r w:rsidR="003613D1" w:rsidRPr="00405400">
        <w:rPr>
          <w:rFonts w:ascii="Trebuchet MS" w:hAnsi="Trebuchet MS"/>
          <w:spacing w:val="20"/>
        </w:rPr>
        <w:t xml:space="preserve">of law and cannot fetter a rule of court and cannot tie the court in the </w:t>
      </w:r>
      <w:r w:rsidR="003613D1" w:rsidRPr="0046788A">
        <w:rPr>
          <w:rFonts w:ascii="Trebuchet MS" w:hAnsi="Trebuchet MS"/>
          <w:spacing w:val="20"/>
        </w:rPr>
        <w:t>exercise</w:t>
      </w:r>
      <w:r w:rsidR="00171232" w:rsidRPr="00FE202F">
        <w:rPr>
          <w:rFonts w:ascii="Trebuchet MS" w:hAnsi="Trebuchet MS"/>
          <w:spacing w:val="20"/>
        </w:rPr>
        <w:t xml:space="preserve"> of its discretion. Where there is a conflict between a rule of court and a </w:t>
      </w:r>
      <w:r w:rsidR="00171232" w:rsidRPr="00FC2475">
        <w:rPr>
          <w:rFonts w:ascii="Trebuchet MS" w:hAnsi="Trebuchet MS"/>
          <w:spacing w:val="20"/>
        </w:rPr>
        <w:t>practice</w:t>
      </w:r>
      <w:r w:rsidR="00171232" w:rsidRPr="008C34EE">
        <w:rPr>
          <w:rFonts w:ascii="Trebuchet MS" w:hAnsi="Trebuchet MS"/>
          <w:spacing w:val="20"/>
        </w:rPr>
        <w:t xml:space="preserve"> </w:t>
      </w:r>
      <w:r w:rsidR="00171232" w:rsidRPr="004355E6">
        <w:rPr>
          <w:rFonts w:ascii="Trebuchet MS" w:hAnsi="Trebuchet MS"/>
          <w:spacing w:val="20"/>
        </w:rPr>
        <w:t>direction, the rule must prevail.</w:t>
      </w:r>
      <w:r w:rsidR="00674817">
        <w:rPr>
          <w:rStyle w:val="FootnoteReference"/>
          <w:rFonts w:ascii="Trebuchet MS" w:hAnsi="Trebuchet MS"/>
          <w:spacing w:val="20"/>
        </w:rPr>
        <w:footnoteReference w:id="102"/>
      </w:r>
      <w:r w:rsidR="00171232" w:rsidRPr="00D12F02">
        <w:rPr>
          <w:rFonts w:ascii="Trebuchet MS" w:hAnsi="Trebuchet MS"/>
          <w:spacing w:val="20"/>
        </w:rPr>
        <w:t xml:space="preserve"> </w:t>
      </w:r>
      <w:r w:rsidR="00D617A4" w:rsidRPr="0040482E">
        <w:rPr>
          <w:rFonts w:ascii="Trebuchet MS" w:hAnsi="Trebuchet MS"/>
          <w:spacing w:val="20"/>
        </w:rPr>
        <w:t xml:space="preserve">Similarly neither the practice direction nor </w:t>
      </w:r>
      <w:r w:rsidR="00D617A4" w:rsidRPr="00D1672B">
        <w:rPr>
          <w:rFonts w:ascii="Trebuchet MS" w:hAnsi="Trebuchet MS"/>
          <w:spacing w:val="20"/>
        </w:rPr>
        <w:t>rules of court can override statutory provisions</w:t>
      </w:r>
      <w:r w:rsidR="0019247A" w:rsidRPr="00405400">
        <w:rPr>
          <w:rFonts w:ascii="Trebuchet MS" w:hAnsi="Trebuchet MS"/>
          <w:spacing w:val="20"/>
        </w:rPr>
        <w:t>.</w:t>
      </w:r>
      <w:r w:rsidR="0019247A">
        <w:rPr>
          <w:rStyle w:val="FootnoteReference"/>
          <w:rFonts w:ascii="Trebuchet MS" w:hAnsi="Trebuchet MS"/>
          <w:spacing w:val="20"/>
        </w:rPr>
        <w:footnoteReference w:id="103"/>
      </w:r>
      <w:r w:rsidR="00D617A4" w:rsidRPr="00D12F02">
        <w:rPr>
          <w:rFonts w:ascii="Trebuchet MS" w:hAnsi="Trebuchet MS"/>
          <w:spacing w:val="20"/>
        </w:rPr>
        <w:t xml:space="preserve"> </w:t>
      </w:r>
      <w:r w:rsidR="00574392" w:rsidRPr="0040482E">
        <w:rPr>
          <w:rFonts w:ascii="Trebuchet MS" w:hAnsi="Trebuchet MS"/>
          <w:spacing w:val="20"/>
        </w:rPr>
        <w:t>The</w:t>
      </w:r>
      <w:r w:rsidR="00433C77" w:rsidRPr="00D1672B">
        <w:rPr>
          <w:rFonts w:ascii="Trebuchet MS" w:hAnsi="Trebuchet MS"/>
          <w:spacing w:val="20"/>
        </w:rPr>
        <w:t xml:space="preserve"> </w:t>
      </w:r>
      <w:r w:rsidR="00574392" w:rsidRPr="00405400">
        <w:rPr>
          <w:rFonts w:ascii="Trebuchet MS" w:hAnsi="Trebuchet MS"/>
          <w:spacing w:val="20"/>
        </w:rPr>
        <w:t xml:space="preserve">above </w:t>
      </w:r>
      <w:r w:rsidR="00433C77" w:rsidRPr="0046788A">
        <w:rPr>
          <w:rFonts w:ascii="Trebuchet MS" w:hAnsi="Trebuchet MS"/>
          <w:spacing w:val="20"/>
        </w:rPr>
        <w:t xml:space="preserve">is the position of the law as </w:t>
      </w:r>
      <w:r w:rsidR="00433C77" w:rsidRPr="00FE202F">
        <w:rPr>
          <w:rFonts w:ascii="Trebuchet MS" w:hAnsi="Trebuchet MS"/>
          <w:spacing w:val="20"/>
        </w:rPr>
        <w:t>I</w:t>
      </w:r>
      <w:r w:rsidR="00433C77" w:rsidRPr="00FC2475">
        <w:rPr>
          <w:rFonts w:ascii="Trebuchet MS" w:hAnsi="Trebuchet MS"/>
          <w:spacing w:val="20"/>
        </w:rPr>
        <w:t xml:space="preserve"> </w:t>
      </w:r>
      <w:r w:rsidR="00433C77" w:rsidRPr="008C34EE">
        <w:rPr>
          <w:rFonts w:ascii="Trebuchet MS" w:hAnsi="Trebuchet MS"/>
          <w:spacing w:val="20"/>
        </w:rPr>
        <w:t>know it but</w:t>
      </w:r>
      <w:r w:rsidR="00574392" w:rsidRPr="004355E6">
        <w:rPr>
          <w:rFonts w:ascii="Trebuchet MS" w:hAnsi="Trebuchet MS"/>
          <w:spacing w:val="20"/>
        </w:rPr>
        <w:t xml:space="preserve"> it appears that in some election petition cases practice direction</w:t>
      </w:r>
      <w:r w:rsidR="00817BC2" w:rsidRPr="0006591B">
        <w:rPr>
          <w:rFonts w:ascii="Trebuchet MS" w:hAnsi="Trebuchet MS"/>
          <w:spacing w:val="20"/>
        </w:rPr>
        <w:t xml:space="preserve">s have been </w:t>
      </w:r>
      <w:r w:rsidR="00977417" w:rsidRPr="00AD5C6D">
        <w:rPr>
          <w:rFonts w:ascii="Trebuchet MS" w:hAnsi="Trebuchet MS"/>
          <w:spacing w:val="20"/>
        </w:rPr>
        <w:t xml:space="preserve">elevated </w:t>
      </w:r>
      <w:r w:rsidR="00817BC2" w:rsidRPr="0030684E">
        <w:rPr>
          <w:rFonts w:ascii="Trebuchet MS" w:hAnsi="Trebuchet MS"/>
          <w:spacing w:val="20"/>
        </w:rPr>
        <w:t>above rules of court</w:t>
      </w:r>
      <w:r w:rsidR="00977417" w:rsidRPr="000E354D">
        <w:rPr>
          <w:rFonts w:ascii="Trebuchet MS" w:hAnsi="Trebuchet MS"/>
          <w:spacing w:val="20"/>
        </w:rPr>
        <w:t xml:space="preserve"> including the statutory provisions</w:t>
      </w:r>
      <w:r w:rsidR="00817BC2" w:rsidRPr="008812A6">
        <w:rPr>
          <w:rFonts w:ascii="Trebuchet MS" w:hAnsi="Trebuchet MS"/>
          <w:spacing w:val="20"/>
        </w:rPr>
        <w:t>. A examp</w:t>
      </w:r>
      <w:r w:rsidR="00817BC2" w:rsidRPr="008B35DD">
        <w:rPr>
          <w:rFonts w:ascii="Trebuchet MS" w:hAnsi="Trebuchet MS"/>
          <w:spacing w:val="20"/>
        </w:rPr>
        <w:t xml:space="preserve">le is the </w:t>
      </w:r>
      <w:r w:rsidR="00817BC2" w:rsidRPr="000F7753">
        <w:rPr>
          <w:rFonts w:ascii="Trebuchet MS" w:hAnsi="Trebuchet MS"/>
          <w:spacing w:val="20"/>
        </w:rPr>
        <w:t xml:space="preserve">unreported </w:t>
      </w:r>
      <w:r w:rsidR="00442588">
        <w:rPr>
          <w:rFonts w:ascii="Trebuchet MS" w:hAnsi="Trebuchet MS"/>
          <w:spacing w:val="20"/>
        </w:rPr>
        <w:t xml:space="preserve">Appeal </w:t>
      </w:r>
      <w:r w:rsidR="00817BC2" w:rsidRPr="008F410F">
        <w:rPr>
          <w:rFonts w:ascii="Trebuchet MS" w:hAnsi="Trebuchet MS"/>
          <w:spacing w:val="20"/>
        </w:rPr>
        <w:t>peti</w:t>
      </w:r>
      <w:r w:rsidR="00817BC2" w:rsidRPr="00F6401F">
        <w:rPr>
          <w:rFonts w:ascii="Trebuchet MS" w:hAnsi="Trebuchet MS"/>
          <w:spacing w:val="20"/>
        </w:rPr>
        <w:t>t</w:t>
      </w:r>
      <w:r w:rsidR="00817BC2" w:rsidRPr="0087536B">
        <w:rPr>
          <w:rFonts w:ascii="Trebuchet MS" w:hAnsi="Trebuchet MS"/>
          <w:spacing w:val="20"/>
        </w:rPr>
        <w:t>ion</w:t>
      </w:r>
      <w:r w:rsidR="00817BC2" w:rsidRPr="00382A31">
        <w:rPr>
          <w:rFonts w:ascii="Trebuchet MS" w:hAnsi="Trebuchet MS"/>
          <w:spacing w:val="20"/>
        </w:rPr>
        <w:t xml:space="preserve"> of </w:t>
      </w:r>
      <w:r w:rsidR="00442588" w:rsidRPr="00B52906">
        <w:rPr>
          <w:rFonts w:ascii="Trebuchet MS" w:hAnsi="Trebuchet MS"/>
          <w:b/>
          <w:i/>
          <w:spacing w:val="20"/>
        </w:rPr>
        <w:t>Prince Abubakar Audu &amp; Anor. v. Captain Idris Wada &amp; 5 Ors.</w:t>
      </w:r>
      <w:r w:rsidR="00442588">
        <w:rPr>
          <w:rStyle w:val="FootnoteReference"/>
          <w:rFonts w:ascii="Trebuchet MS" w:hAnsi="Trebuchet MS"/>
          <w:spacing w:val="20"/>
        </w:rPr>
        <w:footnoteReference w:id="104"/>
      </w:r>
      <w:r w:rsidR="00442588">
        <w:rPr>
          <w:rFonts w:ascii="Trebuchet MS" w:hAnsi="Trebuchet MS"/>
          <w:spacing w:val="20"/>
        </w:rPr>
        <w:t xml:space="preserve"> </w:t>
      </w:r>
      <w:r w:rsidR="00EF1387" w:rsidRPr="00D73CAD">
        <w:rPr>
          <w:rFonts w:ascii="Trebuchet MS" w:hAnsi="Trebuchet MS"/>
          <w:spacing w:val="20"/>
        </w:rPr>
        <w:t>wherein the Appellants petition was dismissed as lacing in merit at the Kogi State Gubernatorial Election Petition Tribunal</w:t>
      </w:r>
      <w:r w:rsidR="00EF1387" w:rsidRPr="00C874AE">
        <w:rPr>
          <w:rFonts w:ascii="Trebuchet MS" w:hAnsi="Trebuchet MS"/>
          <w:spacing w:val="20"/>
        </w:rPr>
        <w:t xml:space="preserve">. Dissatisfied with the decision, the Appellant lodged an appeal to the Court of </w:t>
      </w:r>
      <w:r w:rsidR="00EF1387" w:rsidRPr="00290950">
        <w:rPr>
          <w:rFonts w:ascii="Trebuchet MS" w:hAnsi="Trebuchet MS"/>
          <w:spacing w:val="20"/>
        </w:rPr>
        <w:t>Appeal. Upon dismissal of the Appeal by the Court of Appeal, the Appellant filed appeal to the Supreme Court. Briefs of argument were filed and exchanged. Some of the Respondents raised a preliminary objection against the appeal</w:t>
      </w:r>
      <w:r w:rsidR="00EF1387" w:rsidRPr="00416755">
        <w:rPr>
          <w:rFonts w:ascii="Trebuchet MS" w:hAnsi="Trebuchet MS"/>
          <w:spacing w:val="20"/>
        </w:rPr>
        <w:t xml:space="preserve"> on the ground that the appe</w:t>
      </w:r>
      <w:r w:rsidR="00EF1387" w:rsidRPr="00885C3F">
        <w:rPr>
          <w:rFonts w:ascii="Trebuchet MS" w:hAnsi="Trebuchet MS"/>
          <w:spacing w:val="20"/>
        </w:rPr>
        <w:t xml:space="preserve">al was filed out of time citing the </w:t>
      </w:r>
      <w:r w:rsidR="006B72AA" w:rsidRPr="00A659EC">
        <w:rPr>
          <w:rFonts w:ascii="Trebuchet MS" w:hAnsi="Trebuchet MS"/>
          <w:spacing w:val="20"/>
        </w:rPr>
        <w:t>provision of paragraph 1 of Practice Directions Election Appeals to The Supreme Court</w:t>
      </w:r>
      <w:r w:rsidR="00BF578E" w:rsidRPr="009A2850">
        <w:rPr>
          <w:rFonts w:ascii="Trebuchet MS" w:hAnsi="Trebuchet MS"/>
          <w:spacing w:val="20"/>
        </w:rPr>
        <w:t>. The Appellants</w:t>
      </w:r>
      <w:r w:rsidR="00BF578E" w:rsidRPr="00EC0244">
        <w:rPr>
          <w:rFonts w:ascii="Trebuchet MS" w:hAnsi="Trebuchet MS"/>
          <w:spacing w:val="20"/>
        </w:rPr>
        <w:t>’ Counsel consequently filed an application for extension of time</w:t>
      </w:r>
      <w:r w:rsidR="00BF578E" w:rsidRPr="0030545F">
        <w:rPr>
          <w:rFonts w:ascii="Trebuchet MS" w:hAnsi="Trebuchet MS"/>
          <w:spacing w:val="20"/>
        </w:rPr>
        <w:t xml:space="preserve"> </w:t>
      </w:r>
      <w:r w:rsidR="004148CC" w:rsidRPr="00AF1F73">
        <w:rPr>
          <w:rFonts w:ascii="Trebuchet MS" w:hAnsi="Trebuchet MS"/>
          <w:spacing w:val="20"/>
        </w:rPr>
        <w:t xml:space="preserve">to appeal. </w:t>
      </w:r>
      <w:r w:rsidR="00721C7D" w:rsidRPr="002A5C4D">
        <w:rPr>
          <w:rFonts w:ascii="Trebuchet MS" w:hAnsi="Trebuchet MS"/>
          <w:spacing w:val="20"/>
        </w:rPr>
        <w:t xml:space="preserve">Notwithstanding the fact that the Supreme </w:t>
      </w:r>
      <w:r w:rsidR="00721C7D" w:rsidRPr="005A30CE">
        <w:rPr>
          <w:rFonts w:ascii="Trebuchet MS" w:hAnsi="Trebuchet MS"/>
          <w:spacing w:val="20"/>
        </w:rPr>
        <w:t>Court Rules permits extension of time to appeal</w:t>
      </w:r>
      <w:r w:rsidR="00721C7D" w:rsidRPr="00660BB4">
        <w:rPr>
          <w:rFonts w:ascii="Trebuchet MS" w:hAnsi="Trebuchet MS"/>
          <w:spacing w:val="20"/>
        </w:rPr>
        <w:t xml:space="preserve"> and the Appellants </w:t>
      </w:r>
      <w:r w:rsidR="00721C7D" w:rsidRPr="00504CD4">
        <w:rPr>
          <w:rFonts w:ascii="Trebuchet MS" w:hAnsi="Trebuchet MS"/>
          <w:spacing w:val="20"/>
        </w:rPr>
        <w:t xml:space="preserve">proffered </w:t>
      </w:r>
      <w:r w:rsidR="00721C7D" w:rsidRPr="00CC60F7">
        <w:rPr>
          <w:rFonts w:ascii="Trebuchet MS" w:hAnsi="Trebuchet MS"/>
          <w:spacing w:val="20"/>
        </w:rPr>
        <w:t xml:space="preserve">argument that </w:t>
      </w:r>
      <w:r w:rsidR="00721C7D" w:rsidRPr="0075396B">
        <w:rPr>
          <w:rFonts w:ascii="Trebuchet MS" w:hAnsi="Trebuchet MS"/>
          <w:spacing w:val="20"/>
        </w:rPr>
        <w:t xml:space="preserve">since the Rules of Court </w:t>
      </w:r>
      <w:r w:rsidR="00721C7D" w:rsidRPr="00150E32">
        <w:rPr>
          <w:rFonts w:ascii="Trebuchet MS" w:hAnsi="Trebuchet MS"/>
          <w:spacing w:val="20"/>
        </w:rPr>
        <w:t xml:space="preserve">which is above practice direction </w:t>
      </w:r>
      <w:r w:rsidR="00721C7D" w:rsidRPr="008E48DA">
        <w:rPr>
          <w:rFonts w:ascii="Trebuchet MS" w:hAnsi="Trebuchet MS"/>
          <w:spacing w:val="20"/>
        </w:rPr>
        <w:t>permits</w:t>
      </w:r>
      <w:r w:rsidR="00721C7D" w:rsidRPr="00DA347E">
        <w:rPr>
          <w:rFonts w:ascii="Trebuchet MS" w:hAnsi="Trebuchet MS"/>
          <w:spacing w:val="20"/>
        </w:rPr>
        <w:t xml:space="preserve"> extension of time</w:t>
      </w:r>
      <w:r w:rsidR="006E061A" w:rsidRPr="00A94D7A">
        <w:rPr>
          <w:rFonts w:ascii="Trebuchet MS" w:hAnsi="Trebuchet MS"/>
          <w:spacing w:val="20"/>
        </w:rPr>
        <w:t xml:space="preserve"> to appeal</w:t>
      </w:r>
      <w:r w:rsidR="00721C7D" w:rsidRPr="007E18F1">
        <w:rPr>
          <w:rFonts w:ascii="Trebuchet MS" w:hAnsi="Trebuchet MS"/>
          <w:spacing w:val="20"/>
        </w:rPr>
        <w:t xml:space="preserve">, the Supreme Court refused </w:t>
      </w:r>
      <w:r w:rsidR="006E061A" w:rsidRPr="007E18F1">
        <w:rPr>
          <w:rFonts w:ascii="Trebuchet MS" w:hAnsi="Trebuchet MS"/>
          <w:spacing w:val="20"/>
        </w:rPr>
        <w:t xml:space="preserve">to hear the </w:t>
      </w:r>
      <w:r w:rsidR="00721C7D" w:rsidRPr="007E18F1">
        <w:rPr>
          <w:rFonts w:ascii="Trebuchet MS" w:hAnsi="Trebuchet MS"/>
          <w:spacing w:val="20"/>
        </w:rPr>
        <w:t xml:space="preserve">application </w:t>
      </w:r>
      <w:r w:rsidR="006E061A" w:rsidRPr="00AE714F">
        <w:rPr>
          <w:rFonts w:ascii="Trebuchet MS" w:hAnsi="Trebuchet MS"/>
          <w:spacing w:val="20"/>
        </w:rPr>
        <w:t>and asked Appellant</w:t>
      </w:r>
      <w:r w:rsidR="006E061A" w:rsidRPr="00442588">
        <w:rPr>
          <w:rFonts w:ascii="Trebuchet MS" w:hAnsi="Trebuchet MS"/>
          <w:spacing w:val="20"/>
        </w:rPr>
        <w:t xml:space="preserve">s’ counsel to withdraw same </w:t>
      </w:r>
      <w:r w:rsidR="00721C7D" w:rsidRPr="00442588">
        <w:rPr>
          <w:rFonts w:ascii="Trebuchet MS" w:hAnsi="Trebuchet MS"/>
          <w:spacing w:val="20"/>
        </w:rPr>
        <w:t>on the basis</w:t>
      </w:r>
      <w:r w:rsidR="006E061A" w:rsidRPr="00442588">
        <w:rPr>
          <w:rFonts w:ascii="Trebuchet MS" w:hAnsi="Trebuchet MS"/>
          <w:spacing w:val="20"/>
        </w:rPr>
        <w:t xml:space="preserve"> that</w:t>
      </w:r>
      <w:r w:rsidR="00001AFF" w:rsidRPr="00442588">
        <w:rPr>
          <w:rFonts w:ascii="Trebuchet MS" w:hAnsi="Trebuchet MS"/>
          <w:spacing w:val="20"/>
        </w:rPr>
        <w:t xml:space="preserve"> by paragraph</w:t>
      </w:r>
      <w:r w:rsidR="00721C7D" w:rsidRPr="00442588">
        <w:rPr>
          <w:rFonts w:ascii="Trebuchet MS" w:hAnsi="Trebuchet MS"/>
          <w:spacing w:val="20"/>
        </w:rPr>
        <w:t xml:space="preserve"> 1 of Practice Directions Election Appeals to The Supreme Court</w:t>
      </w:r>
      <w:r w:rsidR="00001AFF" w:rsidRPr="00442588">
        <w:rPr>
          <w:rFonts w:ascii="Trebuchet MS" w:hAnsi="Trebuchet MS"/>
          <w:spacing w:val="20"/>
        </w:rPr>
        <w:t xml:space="preserve"> (that was made pursuant to the Supreme Court Rules)</w:t>
      </w:r>
      <w:r w:rsidR="006E061A" w:rsidRPr="00442588">
        <w:rPr>
          <w:rFonts w:ascii="Trebuchet MS" w:hAnsi="Trebuchet MS"/>
          <w:spacing w:val="20"/>
        </w:rPr>
        <w:t xml:space="preserve"> the appeal ought to have been filed within 14 days</w:t>
      </w:r>
      <w:r w:rsidR="00721C7D" w:rsidRPr="00CB0D90">
        <w:rPr>
          <w:rFonts w:ascii="Trebuchet MS" w:hAnsi="Trebuchet MS"/>
          <w:spacing w:val="20"/>
        </w:rPr>
        <w:t xml:space="preserve">. </w:t>
      </w:r>
      <w:r w:rsidR="00001AFF" w:rsidRPr="00CB0D90">
        <w:rPr>
          <w:rFonts w:ascii="Trebuchet MS" w:hAnsi="Trebuchet MS"/>
          <w:spacing w:val="20"/>
        </w:rPr>
        <w:t xml:space="preserve">In fact, the Supreme Court fail to realise that </w:t>
      </w:r>
      <w:r w:rsidR="00001AFF" w:rsidRPr="00D92887">
        <w:rPr>
          <w:rFonts w:ascii="Trebuchet MS" w:hAnsi="Trebuchet MS"/>
          <w:spacing w:val="20"/>
        </w:rPr>
        <w:t>where there is no specific provision in the Practice Direction stating that the time to appeal cannot be extended</w:t>
      </w:r>
      <w:r w:rsidR="00001AFF" w:rsidRPr="006D7E3B">
        <w:rPr>
          <w:rFonts w:ascii="Trebuchet MS" w:hAnsi="Trebuchet MS"/>
          <w:spacing w:val="20"/>
        </w:rPr>
        <w:t>, extension</w:t>
      </w:r>
      <w:r w:rsidR="005002CE" w:rsidRPr="006D7E3B">
        <w:rPr>
          <w:rFonts w:ascii="Trebuchet MS" w:hAnsi="Trebuchet MS"/>
          <w:spacing w:val="20"/>
        </w:rPr>
        <w:t xml:space="preserve"> of time</w:t>
      </w:r>
      <w:r w:rsidR="00001AFF" w:rsidRPr="00D00B54">
        <w:rPr>
          <w:rFonts w:ascii="Trebuchet MS" w:hAnsi="Trebuchet MS"/>
          <w:spacing w:val="20"/>
        </w:rPr>
        <w:t xml:space="preserve"> will be granted purs</w:t>
      </w:r>
      <w:r w:rsidR="00631663" w:rsidRPr="00BE2897">
        <w:rPr>
          <w:rFonts w:ascii="Trebuchet MS" w:hAnsi="Trebuchet MS"/>
          <w:spacing w:val="20"/>
        </w:rPr>
        <w:t xml:space="preserve">uant to the Supreme Court Rules since </w:t>
      </w:r>
      <w:r w:rsidR="00AC1A52" w:rsidRPr="008E582C">
        <w:rPr>
          <w:rFonts w:ascii="Trebuchet MS" w:hAnsi="Trebuchet MS"/>
          <w:spacing w:val="20"/>
        </w:rPr>
        <w:t xml:space="preserve">in </w:t>
      </w:r>
      <w:r w:rsidR="00631663" w:rsidRPr="009A3761">
        <w:rPr>
          <w:rFonts w:ascii="Trebuchet MS" w:hAnsi="Trebuchet MS"/>
          <w:spacing w:val="20"/>
        </w:rPr>
        <w:t>the</w:t>
      </w:r>
      <w:r w:rsidR="00AC1A52" w:rsidRPr="009A3761">
        <w:rPr>
          <w:rFonts w:ascii="Trebuchet MS" w:hAnsi="Trebuchet MS"/>
          <w:spacing w:val="20"/>
        </w:rPr>
        <w:t xml:space="preserve"> hierarchy of legislation</w:t>
      </w:r>
      <w:r w:rsidR="00631663" w:rsidRPr="00B52906">
        <w:rPr>
          <w:rFonts w:ascii="Trebuchet MS" w:hAnsi="Trebuchet MS"/>
          <w:spacing w:val="20"/>
        </w:rPr>
        <w:t xml:space="preserve"> </w:t>
      </w:r>
      <w:r w:rsidR="00A03965" w:rsidRPr="00B52906">
        <w:rPr>
          <w:rFonts w:ascii="Trebuchet MS" w:hAnsi="Trebuchet MS"/>
          <w:spacing w:val="20"/>
        </w:rPr>
        <w:t xml:space="preserve">Practice Direction are less efficacious to the </w:t>
      </w:r>
      <w:r w:rsidR="00631663" w:rsidRPr="00B52906">
        <w:rPr>
          <w:rFonts w:ascii="Trebuchet MS" w:hAnsi="Trebuchet MS"/>
          <w:spacing w:val="20"/>
        </w:rPr>
        <w:t>rules of court</w:t>
      </w:r>
      <w:r w:rsidR="00A03965" w:rsidRPr="00B52906">
        <w:rPr>
          <w:rFonts w:ascii="Trebuchet MS" w:hAnsi="Trebuchet MS"/>
          <w:spacing w:val="20"/>
        </w:rPr>
        <w:t>.</w:t>
      </w:r>
      <w:r w:rsidR="002D566B">
        <w:rPr>
          <w:rStyle w:val="FootnoteReference"/>
          <w:rFonts w:ascii="Trebuchet MS" w:hAnsi="Trebuchet MS"/>
          <w:spacing w:val="20"/>
        </w:rPr>
        <w:footnoteReference w:id="105"/>
      </w:r>
      <w:r w:rsidR="00995CD1" w:rsidRPr="00B52906">
        <w:rPr>
          <w:rFonts w:ascii="Trebuchet MS" w:hAnsi="Trebuchet MS"/>
          <w:spacing w:val="20"/>
        </w:rPr>
        <w:t xml:space="preserve"> Assuming that the </w:t>
      </w:r>
      <w:r w:rsidR="00995CD1" w:rsidRPr="006C3D60">
        <w:rPr>
          <w:rFonts w:ascii="Trebuchet MS" w:hAnsi="Trebuchet MS"/>
          <w:spacing w:val="20"/>
        </w:rPr>
        <w:t xml:space="preserve">said </w:t>
      </w:r>
      <w:r w:rsidR="00995CD1" w:rsidRPr="00720F63">
        <w:rPr>
          <w:rFonts w:ascii="Trebuchet MS" w:hAnsi="Trebuchet MS"/>
          <w:spacing w:val="20"/>
        </w:rPr>
        <w:t>Practice Directions Election Appeals to the Supreme Court is in conflict with the Supreme Court Rules on the issue of extension of time</w:t>
      </w:r>
      <w:r w:rsidR="00DF5C08" w:rsidRPr="003A19EA">
        <w:rPr>
          <w:rFonts w:ascii="Trebuchet MS" w:hAnsi="Trebuchet MS"/>
          <w:spacing w:val="20"/>
        </w:rPr>
        <w:t>, which is not in this circumstan</w:t>
      </w:r>
      <w:r w:rsidR="00DF5C08" w:rsidRPr="00CE112A">
        <w:rPr>
          <w:rFonts w:ascii="Trebuchet MS" w:hAnsi="Trebuchet MS"/>
          <w:spacing w:val="20"/>
        </w:rPr>
        <w:t>ce, the Supreme Court Rules would certainly prevail over the said Practice Directions Election Appeals to the Supreme Court.</w:t>
      </w:r>
      <w:r w:rsidR="00534738" w:rsidRPr="00013DB5">
        <w:rPr>
          <w:rFonts w:ascii="Trebuchet MS" w:hAnsi="Trebuchet MS"/>
          <w:spacing w:val="20"/>
        </w:rPr>
        <w:t xml:space="preserve"> </w:t>
      </w:r>
      <w:r w:rsidR="004817C1" w:rsidRPr="00C422D9">
        <w:rPr>
          <w:rFonts w:ascii="Trebuchet MS" w:hAnsi="Trebuchet MS"/>
          <w:spacing w:val="20"/>
        </w:rPr>
        <w:t xml:space="preserve">Besides, </w:t>
      </w:r>
      <w:r w:rsidR="004817C1" w:rsidRPr="00431FEF">
        <w:rPr>
          <w:rFonts w:ascii="Trebuchet MS" w:hAnsi="Trebuchet MS"/>
          <w:spacing w:val="20"/>
        </w:rPr>
        <w:t xml:space="preserve">as </w:t>
      </w:r>
      <w:r w:rsidR="004817C1" w:rsidRPr="003A16A7">
        <w:rPr>
          <w:rFonts w:ascii="Trebuchet MS" w:hAnsi="Trebuchet MS"/>
          <w:spacing w:val="20"/>
        </w:rPr>
        <w:t xml:space="preserve">rightly </w:t>
      </w:r>
      <w:r w:rsidR="004817C1" w:rsidRPr="000E652D">
        <w:rPr>
          <w:rFonts w:ascii="Trebuchet MS" w:hAnsi="Trebuchet MS"/>
          <w:spacing w:val="20"/>
        </w:rPr>
        <w:t>stated by Pats-</w:t>
      </w:r>
      <w:r w:rsidR="004817C1" w:rsidRPr="00B52906">
        <w:rPr>
          <w:rFonts w:ascii="Trebuchet MS" w:hAnsi="Trebuchet MS"/>
          <w:b/>
          <w:spacing w:val="20"/>
        </w:rPr>
        <w:t>Acholonu, J.S.C.</w:t>
      </w:r>
      <w:r w:rsidR="004817C1" w:rsidRPr="00D12F02">
        <w:rPr>
          <w:rFonts w:ascii="Trebuchet MS" w:hAnsi="Trebuchet MS"/>
          <w:spacing w:val="20"/>
        </w:rPr>
        <w:t xml:space="preserve"> in </w:t>
      </w:r>
      <w:r w:rsidR="004817C1" w:rsidRPr="00B52906">
        <w:rPr>
          <w:rFonts w:ascii="Trebuchet MS" w:hAnsi="Trebuchet MS"/>
          <w:b/>
          <w:i/>
          <w:spacing w:val="20"/>
        </w:rPr>
        <w:t>Duke v. Akpabuyo L.G.</w:t>
      </w:r>
      <w:r w:rsidR="004817C1">
        <w:rPr>
          <w:rStyle w:val="FootnoteReference"/>
          <w:rFonts w:ascii="Trebuchet MS" w:hAnsi="Trebuchet MS"/>
          <w:spacing w:val="20"/>
        </w:rPr>
        <w:footnoteReference w:id="106"/>
      </w:r>
      <w:r w:rsidR="004817C1" w:rsidRPr="00D12F02">
        <w:rPr>
          <w:rFonts w:ascii="Trebuchet MS" w:hAnsi="Trebuchet MS"/>
          <w:spacing w:val="20"/>
        </w:rPr>
        <w:t xml:space="preserve"> </w:t>
      </w:r>
      <w:r w:rsidR="004817C1" w:rsidRPr="0040482E">
        <w:rPr>
          <w:rFonts w:ascii="Trebuchet MS" w:hAnsi="Trebuchet MS"/>
          <w:spacing w:val="20"/>
        </w:rPr>
        <w:t xml:space="preserve">rules of the </w:t>
      </w:r>
      <w:r w:rsidR="004817C1" w:rsidRPr="00D1672B">
        <w:rPr>
          <w:rFonts w:ascii="Trebuchet MS" w:hAnsi="Trebuchet MS"/>
          <w:spacing w:val="20"/>
        </w:rPr>
        <w:t>c</w:t>
      </w:r>
      <w:r w:rsidR="004817C1" w:rsidRPr="0003654E">
        <w:rPr>
          <w:rFonts w:ascii="Trebuchet MS" w:hAnsi="Trebuchet MS"/>
          <w:spacing w:val="20"/>
        </w:rPr>
        <w:t>ourt</w:t>
      </w:r>
      <w:r w:rsidR="00EB21C8" w:rsidRPr="0003654E">
        <w:rPr>
          <w:rFonts w:ascii="Trebuchet MS" w:hAnsi="Trebuchet MS"/>
          <w:spacing w:val="20"/>
        </w:rPr>
        <w:t xml:space="preserve"> (which I regard Practice Direction to be)</w:t>
      </w:r>
      <w:r w:rsidR="004817C1" w:rsidRPr="0003654E">
        <w:rPr>
          <w:rFonts w:ascii="Trebuchet MS" w:hAnsi="Trebuchet MS"/>
          <w:spacing w:val="20"/>
        </w:rPr>
        <w:t xml:space="preserve"> are meant to be obeyed</w:t>
      </w:r>
      <w:r w:rsidR="004817C1" w:rsidRPr="00405400">
        <w:rPr>
          <w:rFonts w:ascii="Trebuchet MS" w:hAnsi="Trebuchet MS"/>
          <w:spacing w:val="20"/>
        </w:rPr>
        <w:t xml:space="preserve"> and a</w:t>
      </w:r>
      <w:r w:rsidR="004817C1" w:rsidRPr="00F463B9">
        <w:rPr>
          <w:rFonts w:ascii="Trebuchet MS" w:hAnsi="Trebuchet MS"/>
          <w:spacing w:val="20"/>
        </w:rPr>
        <w:t>re used by the courts to discover justice</w:t>
      </w:r>
      <w:r w:rsidR="004817C1" w:rsidRPr="0046788A">
        <w:rPr>
          <w:rFonts w:ascii="Trebuchet MS" w:hAnsi="Trebuchet MS"/>
          <w:spacing w:val="20"/>
        </w:rPr>
        <w:t xml:space="preserve"> and not to choke,</w:t>
      </w:r>
      <w:r w:rsidR="00E9579B" w:rsidRPr="007C4E59">
        <w:rPr>
          <w:rFonts w:ascii="Trebuchet MS" w:hAnsi="Trebuchet MS"/>
          <w:spacing w:val="20"/>
        </w:rPr>
        <w:t xml:space="preserve"> throttle or asphyxiate justice and</w:t>
      </w:r>
      <w:r w:rsidR="004817C1" w:rsidRPr="007C4E59">
        <w:rPr>
          <w:rFonts w:ascii="Trebuchet MS" w:hAnsi="Trebuchet MS"/>
          <w:spacing w:val="20"/>
        </w:rPr>
        <w:t xml:space="preserve"> </w:t>
      </w:r>
      <w:r w:rsidR="00E9579B" w:rsidRPr="007C4E59">
        <w:rPr>
          <w:rFonts w:ascii="Trebuchet MS" w:hAnsi="Trebuchet MS"/>
          <w:spacing w:val="20"/>
        </w:rPr>
        <w:t xml:space="preserve">they are not </w:t>
      </w:r>
      <w:r w:rsidR="00E9579B" w:rsidRPr="00B52906">
        <w:rPr>
          <w:rFonts w:ascii="Trebuchet MS" w:hAnsi="Trebuchet MS"/>
          <w:i/>
          <w:spacing w:val="20"/>
        </w:rPr>
        <w:t>sine qua non</w:t>
      </w:r>
      <w:r w:rsidR="00E9579B" w:rsidRPr="00D12F02">
        <w:rPr>
          <w:rFonts w:ascii="Trebuchet MS" w:hAnsi="Trebuchet MS"/>
          <w:spacing w:val="20"/>
        </w:rPr>
        <w:t xml:space="preserve"> in th</w:t>
      </w:r>
      <w:r w:rsidR="00E9579B" w:rsidRPr="0040482E">
        <w:rPr>
          <w:rFonts w:ascii="Trebuchet MS" w:hAnsi="Trebuchet MS"/>
          <w:spacing w:val="20"/>
        </w:rPr>
        <w:t>e just determination of a case and therefore not immutable.</w:t>
      </w:r>
      <w:r w:rsidR="00E9579B" w:rsidRPr="00D1672B">
        <w:rPr>
          <w:rFonts w:ascii="Trebuchet MS" w:hAnsi="Trebuchet MS"/>
          <w:spacing w:val="20"/>
        </w:rPr>
        <w:t xml:space="preserve"> </w:t>
      </w:r>
      <w:r w:rsidR="00EE5E65" w:rsidRPr="0003654E">
        <w:rPr>
          <w:rFonts w:ascii="Trebuchet MS" w:hAnsi="Trebuchet MS"/>
          <w:spacing w:val="20"/>
        </w:rPr>
        <w:t xml:space="preserve">The question is </w:t>
      </w:r>
      <w:r w:rsidR="0050030A" w:rsidRPr="0003654E">
        <w:rPr>
          <w:rFonts w:ascii="Trebuchet MS" w:hAnsi="Trebuchet MS"/>
          <w:spacing w:val="20"/>
        </w:rPr>
        <w:t>where lies justice in this case?</w:t>
      </w:r>
      <w:r w:rsidR="005138B4" w:rsidRPr="00405400">
        <w:rPr>
          <w:rFonts w:ascii="Trebuchet MS" w:hAnsi="Trebuchet MS"/>
          <w:spacing w:val="20"/>
        </w:rPr>
        <w:t xml:space="preserve"> </w:t>
      </w:r>
      <w:r w:rsidR="00A01962" w:rsidRPr="00F463B9">
        <w:rPr>
          <w:rFonts w:ascii="Trebuchet MS" w:hAnsi="Trebuchet MS"/>
          <w:spacing w:val="20"/>
        </w:rPr>
        <w:t>In fact</w:t>
      </w:r>
      <w:r w:rsidR="00A01962" w:rsidRPr="0046788A">
        <w:rPr>
          <w:rFonts w:ascii="Trebuchet MS" w:hAnsi="Trebuchet MS"/>
          <w:spacing w:val="20"/>
        </w:rPr>
        <w:t xml:space="preserve">, </w:t>
      </w:r>
      <w:r w:rsidR="00305322" w:rsidRPr="007C4E59">
        <w:rPr>
          <w:rFonts w:ascii="Trebuchet MS" w:hAnsi="Trebuchet MS"/>
          <w:spacing w:val="20"/>
        </w:rPr>
        <w:t>most election petition cases</w:t>
      </w:r>
      <w:r w:rsidR="00A01962" w:rsidRPr="007C4E59">
        <w:rPr>
          <w:rFonts w:ascii="Trebuchet MS" w:hAnsi="Trebuchet MS"/>
          <w:spacing w:val="20"/>
        </w:rPr>
        <w:t xml:space="preserve"> before the Osun State Election Peti</w:t>
      </w:r>
      <w:r w:rsidR="00A01962" w:rsidRPr="00FE202F">
        <w:rPr>
          <w:rFonts w:ascii="Trebuchet MS" w:hAnsi="Trebuchet MS"/>
          <w:spacing w:val="20"/>
        </w:rPr>
        <w:t>tion Tribunals</w:t>
      </w:r>
      <w:r w:rsidR="00A01962" w:rsidRPr="00FC2475">
        <w:rPr>
          <w:rFonts w:ascii="Trebuchet MS" w:hAnsi="Trebuchet MS"/>
          <w:spacing w:val="20"/>
        </w:rPr>
        <w:t xml:space="preserve"> under the Chairmanship of Justice</w:t>
      </w:r>
      <w:r w:rsidR="00C422B0" w:rsidRPr="00FC2475">
        <w:rPr>
          <w:rFonts w:ascii="Trebuchet MS" w:hAnsi="Trebuchet MS"/>
          <w:spacing w:val="20"/>
        </w:rPr>
        <w:t xml:space="preserve"> T.D. Naron w</w:t>
      </w:r>
      <w:r w:rsidR="00A01962" w:rsidRPr="00FC2475">
        <w:rPr>
          <w:rFonts w:ascii="Trebuchet MS" w:hAnsi="Trebuchet MS"/>
          <w:spacing w:val="20"/>
        </w:rPr>
        <w:t>ere</w:t>
      </w:r>
      <w:r w:rsidR="00325932" w:rsidRPr="00FC2475">
        <w:rPr>
          <w:rFonts w:ascii="Trebuchet MS" w:hAnsi="Trebuchet MS"/>
          <w:spacing w:val="20"/>
        </w:rPr>
        <w:t>,</w:t>
      </w:r>
      <w:r w:rsidR="00A01962" w:rsidRPr="00FC2475">
        <w:rPr>
          <w:rFonts w:ascii="Trebuchet MS" w:hAnsi="Trebuchet MS"/>
          <w:spacing w:val="20"/>
        </w:rPr>
        <w:t xml:space="preserve"> </w:t>
      </w:r>
      <w:r w:rsidR="00325932" w:rsidRPr="00FC2475">
        <w:rPr>
          <w:rFonts w:ascii="Trebuchet MS" w:hAnsi="Trebuchet MS"/>
          <w:spacing w:val="20"/>
        </w:rPr>
        <w:t xml:space="preserve">among other things, </w:t>
      </w:r>
      <w:r w:rsidR="00A01962" w:rsidRPr="00FC2475">
        <w:rPr>
          <w:rFonts w:ascii="Trebuchet MS" w:hAnsi="Trebuchet MS"/>
          <w:spacing w:val="20"/>
        </w:rPr>
        <w:t xml:space="preserve">dismissed </w:t>
      </w:r>
      <w:r w:rsidR="00A01962" w:rsidRPr="008C34EE">
        <w:rPr>
          <w:rFonts w:ascii="Trebuchet MS" w:hAnsi="Trebuchet MS"/>
          <w:spacing w:val="20"/>
        </w:rPr>
        <w:t xml:space="preserve">by the Tribunal </w:t>
      </w:r>
      <w:r w:rsidR="00D53A5A" w:rsidRPr="008C34EE">
        <w:rPr>
          <w:rFonts w:ascii="Trebuchet MS" w:hAnsi="Trebuchet MS"/>
          <w:spacing w:val="20"/>
        </w:rPr>
        <w:t xml:space="preserve">as a result of </w:t>
      </w:r>
      <w:r w:rsidR="00A01962" w:rsidRPr="008C34EE">
        <w:rPr>
          <w:rFonts w:ascii="Trebuchet MS" w:hAnsi="Trebuchet MS"/>
          <w:spacing w:val="20"/>
        </w:rPr>
        <w:t>placing Practice Direction over the Electoral Act, 2006</w:t>
      </w:r>
      <w:r w:rsidR="00C422B0" w:rsidRPr="004355E6">
        <w:rPr>
          <w:rFonts w:ascii="Trebuchet MS" w:hAnsi="Trebuchet MS"/>
          <w:spacing w:val="20"/>
        </w:rPr>
        <w:t>.</w:t>
      </w:r>
      <w:r w:rsidR="00D53A5A">
        <w:rPr>
          <w:rStyle w:val="FootnoteReference"/>
          <w:rFonts w:ascii="Trebuchet MS" w:hAnsi="Trebuchet MS"/>
          <w:spacing w:val="20"/>
        </w:rPr>
        <w:footnoteReference w:id="107"/>
      </w:r>
      <w:r w:rsidR="00325932" w:rsidRPr="00D12F02">
        <w:rPr>
          <w:rFonts w:ascii="Trebuchet MS" w:hAnsi="Trebuchet MS"/>
          <w:spacing w:val="20"/>
        </w:rPr>
        <w:t xml:space="preserve"> </w:t>
      </w:r>
    </w:p>
    <w:p w14:paraId="6BC5E4F6" w14:textId="6A70E9B3" w:rsidR="00481067" w:rsidRDefault="0003654E" w:rsidP="00E47BA8">
      <w:pPr>
        <w:pStyle w:val="ListParagraph"/>
        <w:numPr>
          <w:ilvl w:val="0"/>
          <w:numId w:val="19"/>
        </w:numPr>
        <w:spacing w:line="480" w:lineRule="auto"/>
        <w:ind w:left="426"/>
        <w:jc w:val="both"/>
        <w:rPr>
          <w:rFonts w:ascii="Trebuchet MS" w:hAnsi="Trebuchet MS"/>
          <w:spacing w:val="20"/>
        </w:rPr>
      </w:pPr>
      <w:r w:rsidRPr="003D7E62">
        <w:rPr>
          <w:rFonts w:ascii="Trebuchet MS" w:hAnsi="Trebuchet MS"/>
          <w:b/>
          <w:spacing w:val="20"/>
        </w:rPr>
        <w:t>Whether written Address can take the place of Evidence</w:t>
      </w:r>
      <w:r>
        <w:rPr>
          <w:rFonts w:ascii="Trebuchet MS" w:hAnsi="Trebuchet MS"/>
          <w:spacing w:val="20"/>
        </w:rPr>
        <w:t xml:space="preserve">:- The position of the law is that written </w:t>
      </w:r>
      <w:r w:rsidR="007C4E59">
        <w:rPr>
          <w:rFonts w:ascii="Trebuchet MS" w:hAnsi="Trebuchet MS"/>
          <w:spacing w:val="20"/>
        </w:rPr>
        <w:t>address</w:t>
      </w:r>
      <w:r w:rsidR="004355E6">
        <w:rPr>
          <w:rFonts w:ascii="Trebuchet MS" w:hAnsi="Trebuchet MS"/>
          <w:spacing w:val="20"/>
        </w:rPr>
        <w:t>es</w:t>
      </w:r>
      <w:r w:rsidR="007C4E59">
        <w:rPr>
          <w:rFonts w:ascii="Trebuchet MS" w:hAnsi="Trebuchet MS"/>
          <w:spacing w:val="20"/>
        </w:rPr>
        <w:t xml:space="preserve"> </w:t>
      </w:r>
      <w:r>
        <w:rPr>
          <w:rFonts w:ascii="Trebuchet MS" w:hAnsi="Trebuchet MS"/>
          <w:spacing w:val="20"/>
        </w:rPr>
        <w:t>no matter how brilliant cannot take the place of evidence.</w:t>
      </w:r>
      <w:r w:rsidR="008C34EE">
        <w:rPr>
          <w:rFonts w:ascii="Trebuchet MS" w:hAnsi="Trebuchet MS"/>
          <w:spacing w:val="20"/>
        </w:rPr>
        <w:t xml:space="preserve"> This situation is applicable to instances where Counsel written address</w:t>
      </w:r>
      <w:r w:rsidR="004355E6">
        <w:rPr>
          <w:rFonts w:ascii="Trebuchet MS" w:hAnsi="Trebuchet MS"/>
          <w:spacing w:val="20"/>
        </w:rPr>
        <w:t>es</w:t>
      </w:r>
      <w:r w:rsidR="008C34EE">
        <w:rPr>
          <w:rFonts w:ascii="Trebuchet MS" w:hAnsi="Trebuchet MS"/>
          <w:spacing w:val="20"/>
        </w:rPr>
        <w:t xml:space="preserve"> ascribe testimony to </w:t>
      </w:r>
      <w:r w:rsidR="00EC0244">
        <w:rPr>
          <w:rFonts w:ascii="Trebuchet MS" w:hAnsi="Trebuchet MS"/>
          <w:spacing w:val="20"/>
        </w:rPr>
        <w:t xml:space="preserve">a </w:t>
      </w:r>
      <w:r w:rsidR="008C34EE">
        <w:rPr>
          <w:rFonts w:ascii="Trebuchet MS" w:hAnsi="Trebuchet MS"/>
          <w:spacing w:val="20"/>
        </w:rPr>
        <w:t>witness which the witness did not in fact give in his or her testimony before the court</w:t>
      </w:r>
      <w:r w:rsidR="004355E6">
        <w:rPr>
          <w:rFonts w:ascii="Trebuchet MS" w:hAnsi="Trebuchet MS"/>
          <w:spacing w:val="20"/>
        </w:rPr>
        <w:t>.</w:t>
      </w:r>
      <w:r w:rsidR="008C34EE">
        <w:rPr>
          <w:rFonts w:ascii="Trebuchet MS" w:hAnsi="Trebuchet MS"/>
          <w:spacing w:val="20"/>
        </w:rPr>
        <w:t xml:space="preserve"> </w:t>
      </w:r>
      <w:r w:rsidR="004355E6">
        <w:rPr>
          <w:rFonts w:ascii="Trebuchet MS" w:hAnsi="Trebuchet MS"/>
          <w:spacing w:val="20"/>
        </w:rPr>
        <w:t>This is why the court would hold that such cannot take the place of evidence</w:t>
      </w:r>
      <w:r w:rsidR="007A6B29">
        <w:rPr>
          <w:rFonts w:ascii="Trebuchet MS" w:hAnsi="Trebuchet MS"/>
          <w:spacing w:val="20"/>
        </w:rPr>
        <w:t xml:space="preserve"> because</w:t>
      </w:r>
      <w:r w:rsidR="00B77AED">
        <w:rPr>
          <w:rFonts w:ascii="Trebuchet MS" w:hAnsi="Trebuchet MS"/>
          <w:spacing w:val="20"/>
        </w:rPr>
        <w:t xml:space="preserve"> such</w:t>
      </w:r>
      <w:r w:rsidR="0030684E">
        <w:rPr>
          <w:rFonts w:ascii="Trebuchet MS" w:hAnsi="Trebuchet MS"/>
          <w:spacing w:val="20"/>
        </w:rPr>
        <w:t xml:space="preserve"> written </w:t>
      </w:r>
      <w:r w:rsidR="00AD5C6D">
        <w:rPr>
          <w:rFonts w:ascii="Trebuchet MS" w:hAnsi="Trebuchet MS"/>
          <w:spacing w:val="20"/>
        </w:rPr>
        <w:t>address is ascribing evidence to what a witness did not say</w:t>
      </w:r>
      <w:r w:rsidR="008812A6">
        <w:rPr>
          <w:rFonts w:ascii="Trebuchet MS" w:hAnsi="Trebuchet MS"/>
          <w:spacing w:val="20"/>
        </w:rPr>
        <w:t xml:space="preserve">. </w:t>
      </w:r>
      <w:r w:rsidR="000E354D">
        <w:rPr>
          <w:rFonts w:ascii="Trebuchet MS" w:hAnsi="Trebuchet MS"/>
          <w:spacing w:val="20"/>
        </w:rPr>
        <w:t xml:space="preserve">It is disheartening to realize that </w:t>
      </w:r>
      <w:r w:rsidR="008F410F">
        <w:rPr>
          <w:rFonts w:ascii="Trebuchet MS" w:hAnsi="Trebuchet MS"/>
          <w:spacing w:val="20"/>
        </w:rPr>
        <w:t xml:space="preserve">some tribunals including </w:t>
      </w:r>
      <w:r w:rsidR="00FC2475">
        <w:rPr>
          <w:rFonts w:ascii="Trebuchet MS" w:hAnsi="Trebuchet MS"/>
          <w:spacing w:val="20"/>
        </w:rPr>
        <w:t xml:space="preserve">the </w:t>
      </w:r>
      <w:r w:rsidR="008F410F">
        <w:rPr>
          <w:rFonts w:ascii="Trebuchet MS" w:hAnsi="Trebuchet MS"/>
          <w:spacing w:val="20"/>
        </w:rPr>
        <w:t>appellate courts</w:t>
      </w:r>
      <w:r w:rsidR="00AD53E3">
        <w:rPr>
          <w:rFonts w:ascii="Trebuchet MS" w:hAnsi="Trebuchet MS"/>
          <w:spacing w:val="20"/>
        </w:rPr>
        <w:t xml:space="preserve"> regarding election petition cases</w:t>
      </w:r>
      <w:r w:rsidR="008F410F">
        <w:rPr>
          <w:rFonts w:ascii="Trebuchet MS" w:hAnsi="Trebuchet MS"/>
          <w:spacing w:val="20"/>
        </w:rPr>
        <w:t xml:space="preserve"> have </w:t>
      </w:r>
      <w:r w:rsidR="008812A6">
        <w:rPr>
          <w:rFonts w:ascii="Trebuchet MS" w:hAnsi="Trebuchet MS"/>
          <w:spacing w:val="20"/>
        </w:rPr>
        <w:t>summersaulted</w:t>
      </w:r>
      <w:r w:rsidR="00FC2475">
        <w:rPr>
          <w:rFonts w:ascii="Trebuchet MS" w:hAnsi="Trebuchet MS"/>
          <w:spacing w:val="20"/>
        </w:rPr>
        <w:t xml:space="preserve"> </w:t>
      </w:r>
      <w:r w:rsidR="008F410F">
        <w:rPr>
          <w:rFonts w:ascii="Trebuchet MS" w:hAnsi="Trebuchet MS"/>
          <w:spacing w:val="20"/>
        </w:rPr>
        <w:t xml:space="preserve">by holding that </w:t>
      </w:r>
      <w:r w:rsidR="00F6401F">
        <w:rPr>
          <w:rFonts w:ascii="Trebuchet MS" w:hAnsi="Trebuchet MS"/>
          <w:spacing w:val="20"/>
        </w:rPr>
        <w:t xml:space="preserve">analysis in the form of charts </w:t>
      </w:r>
      <w:r w:rsidR="0087536B">
        <w:rPr>
          <w:rFonts w:ascii="Trebuchet MS" w:hAnsi="Trebuchet MS"/>
          <w:spacing w:val="20"/>
        </w:rPr>
        <w:t xml:space="preserve">is not admissible having not been tested under cross-examination and hence cannot take the place of evidence. </w:t>
      </w:r>
      <w:r w:rsidR="00382A31">
        <w:rPr>
          <w:rFonts w:ascii="Trebuchet MS" w:hAnsi="Trebuchet MS"/>
          <w:spacing w:val="20"/>
        </w:rPr>
        <w:t xml:space="preserve">This was the decision of the Supreme Court </w:t>
      </w:r>
      <w:r w:rsidR="008812A6">
        <w:rPr>
          <w:rFonts w:ascii="Trebuchet MS" w:hAnsi="Trebuchet MS"/>
          <w:spacing w:val="20"/>
        </w:rPr>
        <w:t xml:space="preserve">in the election appeal of </w:t>
      </w:r>
      <w:r w:rsidR="00FC2475" w:rsidRPr="00B52906">
        <w:rPr>
          <w:rFonts w:ascii="Trebuchet MS" w:hAnsi="Trebuchet MS"/>
          <w:b/>
          <w:i/>
          <w:spacing w:val="20"/>
        </w:rPr>
        <w:t>Ucha v. Elechi</w:t>
      </w:r>
      <w:r w:rsidR="00FC2475">
        <w:rPr>
          <w:rStyle w:val="FootnoteReference"/>
          <w:rFonts w:ascii="Trebuchet MS" w:hAnsi="Trebuchet MS"/>
          <w:spacing w:val="20"/>
        </w:rPr>
        <w:footnoteReference w:id="108"/>
      </w:r>
      <w:r w:rsidR="008812A6">
        <w:rPr>
          <w:rFonts w:ascii="Trebuchet MS" w:hAnsi="Trebuchet MS"/>
          <w:spacing w:val="20"/>
        </w:rPr>
        <w:t xml:space="preserve"> </w:t>
      </w:r>
      <w:r w:rsidR="00382A31">
        <w:rPr>
          <w:rFonts w:ascii="Trebuchet MS" w:hAnsi="Trebuchet MS"/>
          <w:spacing w:val="20"/>
        </w:rPr>
        <w:t xml:space="preserve">wherein </w:t>
      </w:r>
      <w:r w:rsidR="00382A31" w:rsidRPr="00B52906">
        <w:rPr>
          <w:rFonts w:ascii="Trebuchet MS" w:hAnsi="Trebuchet MS"/>
          <w:b/>
          <w:spacing w:val="20"/>
        </w:rPr>
        <w:t>Rhodes-Vivour, J.S.C.</w:t>
      </w:r>
      <w:r w:rsidR="00382A31">
        <w:rPr>
          <w:rFonts w:ascii="Trebuchet MS" w:hAnsi="Trebuchet MS"/>
          <w:spacing w:val="20"/>
        </w:rPr>
        <w:t xml:space="preserve"> </w:t>
      </w:r>
      <w:r w:rsidR="008812A6">
        <w:rPr>
          <w:rFonts w:ascii="Trebuchet MS" w:hAnsi="Trebuchet MS"/>
          <w:spacing w:val="20"/>
        </w:rPr>
        <w:t xml:space="preserve">held </w:t>
      </w:r>
      <w:r w:rsidR="00382A31">
        <w:rPr>
          <w:rFonts w:ascii="Trebuchet MS" w:hAnsi="Trebuchet MS"/>
          <w:spacing w:val="20"/>
        </w:rPr>
        <w:t xml:space="preserve">thus: </w:t>
      </w:r>
    </w:p>
    <w:p w14:paraId="61B83558" w14:textId="77777777" w:rsidR="0096519E" w:rsidRPr="003D7E62" w:rsidRDefault="0096519E" w:rsidP="00E47BA8">
      <w:pPr>
        <w:pStyle w:val="ListParagraph"/>
        <w:spacing w:line="480" w:lineRule="auto"/>
        <w:ind w:left="426"/>
        <w:jc w:val="both"/>
        <w:rPr>
          <w:rFonts w:ascii="Trebuchet MS" w:hAnsi="Trebuchet MS"/>
          <w:spacing w:val="20"/>
          <w:sz w:val="14"/>
        </w:rPr>
      </w:pPr>
    </w:p>
    <w:p w14:paraId="44DE07B8" w14:textId="1FFF5271" w:rsidR="0042517D" w:rsidRDefault="00A659EC" w:rsidP="00E47BA8">
      <w:pPr>
        <w:pStyle w:val="ListParagraph"/>
        <w:spacing w:line="480" w:lineRule="auto"/>
        <w:ind w:left="2160" w:firstLine="720"/>
        <w:jc w:val="both"/>
        <w:rPr>
          <w:rFonts w:ascii="Trebuchet MS" w:hAnsi="Trebuchet MS"/>
          <w:spacing w:val="20"/>
        </w:rPr>
      </w:pPr>
      <w:r>
        <w:rPr>
          <w:rFonts w:ascii="Trebuchet MS" w:hAnsi="Trebuchet MS"/>
          <w:spacing w:val="20"/>
        </w:rPr>
        <w:t>“</w:t>
      </w:r>
      <w:r w:rsidR="00C874AE">
        <w:rPr>
          <w:rFonts w:ascii="Trebuchet MS" w:hAnsi="Trebuchet MS"/>
          <w:spacing w:val="20"/>
        </w:rPr>
        <w:t xml:space="preserve">The chart contained in the appellants final address was a brilliant idea, but it was not tested under cross-examination, and it </w:t>
      </w:r>
      <w:r>
        <w:rPr>
          <w:rFonts w:ascii="Trebuchet MS" w:hAnsi="Trebuchet MS"/>
          <w:spacing w:val="20"/>
        </w:rPr>
        <w:t xml:space="preserve">does not show that the figures </w:t>
      </w:r>
      <w:r w:rsidR="00C874AE">
        <w:rPr>
          <w:rFonts w:ascii="Trebuchet MS" w:hAnsi="Trebuchet MS"/>
          <w:spacing w:val="20"/>
        </w:rPr>
        <w:t>were arrived at as a result of careful examination and compliance of exhibits P.95 – P. 111, documents that were dumped on the trial court. I must point out that a brilliant</w:t>
      </w:r>
      <w:r w:rsidR="00290950">
        <w:rPr>
          <w:rFonts w:ascii="Trebuchet MS" w:hAnsi="Trebuchet MS"/>
          <w:spacing w:val="20"/>
        </w:rPr>
        <w:t xml:space="preserve"> address is no substitute for evidence. Counsel submission no matter how brilliant and alluring cannot take the place of legal proof.</w:t>
      </w:r>
      <w:r w:rsidR="00416755">
        <w:rPr>
          <w:rFonts w:ascii="Trebuchet MS" w:hAnsi="Trebuchet MS"/>
          <w:spacing w:val="20"/>
        </w:rPr>
        <w:t xml:space="preserve"> See </w:t>
      </w:r>
      <w:r w:rsidR="00416755" w:rsidRPr="00B52906">
        <w:rPr>
          <w:rFonts w:ascii="Trebuchet MS" w:hAnsi="Trebuchet MS"/>
          <w:i/>
          <w:spacing w:val="20"/>
        </w:rPr>
        <w:t>Ishola v. Ajiboye</w:t>
      </w:r>
      <w:r w:rsidR="00416755">
        <w:rPr>
          <w:rFonts w:ascii="Trebuchet MS" w:hAnsi="Trebuchet MS"/>
          <w:spacing w:val="20"/>
        </w:rPr>
        <w:t xml:space="preserve"> (1998) 1 NWLR (Pt. 532) p. 71; </w:t>
      </w:r>
      <w:r w:rsidR="00416755" w:rsidRPr="00B52906">
        <w:rPr>
          <w:rFonts w:ascii="Trebuchet MS" w:hAnsi="Trebuchet MS"/>
          <w:i/>
          <w:spacing w:val="20"/>
        </w:rPr>
        <w:t>Chukujekwu v. Olalere</w:t>
      </w:r>
      <w:r w:rsidR="00885C3F">
        <w:rPr>
          <w:rFonts w:ascii="Trebuchet MS" w:hAnsi="Trebuchet MS"/>
          <w:spacing w:val="20"/>
        </w:rPr>
        <w:t xml:space="preserve"> (1992) 2 NWLR (Pt. 221) p. 86.</w:t>
      </w:r>
    </w:p>
    <w:p w14:paraId="0D573907" w14:textId="41F12B84" w:rsidR="00A659EC" w:rsidRDefault="00A659EC" w:rsidP="00E47BA8">
      <w:pPr>
        <w:pStyle w:val="ListParagraph"/>
        <w:spacing w:line="480" w:lineRule="auto"/>
        <w:ind w:left="2160" w:firstLine="720"/>
        <w:jc w:val="both"/>
        <w:rPr>
          <w:rFonts w:ascii="Trebuchet MS" w:hAnsi="Trebuchet MS"/>
          <w:spacing w:val="20"/>
        </w:rPr>
      </w:pPr>
      <w:r>
        <w:rPr>
          <w:rFonts w:ascii="Trebuchet MS" w:hAnsi="Trebuchet MS"/>
          <w:spacing w:val="20"/>
        </w:rPr>
        <w:t>The chart relied on by learned counsel for the appellants are of little or no evidential value.”</w:t>
      </w:r>
    </w:p>
    <w:p w14:paraId="72E36C5F" w14:textId="77777777" w:rsidR="0096519E" w:rsidRPr="003D7E62" w:rsidRDefault="0096519E" w:rsidP="00E47BA8">
      <w:pPr>
        <w:pStyle w:val="ListParagraph"/>
        <w:spacing w:line="480" w:lineRule="auto"/>
        <w:ind w:left="2160" w:firstLine="720"/>
        <w:jc w:val="both"/>
        <w:rPr>
          <w:rFonts w:ascii="Trebuchet MS" w:hAnsi="Trebuchet MS"/>
          <w:spacing w:val="20"/>
          <w:sz w:val="14"/>
        </w:rPr>
      </w:pPr>
    </w:p>
    <w:p w14:paraId="6E1F2EC9" w14:textId="77777777" w:rsidR="006027AC" w:rsidRDefault="004E7F65" w:rsidP="00E47BA8">
      <w:pPr>
        <w:spacing w:line="480" w:lineRule="auto"/>
        <w:ind w:left="426"/>
        <w:contextualSpacing/>
        <w:jc w:val="both"/>
        <w:rPr>
          <w:rFonts w:ascii="Trebuchet MS" w:hAnsi="Trebuchet MS"/>
          <w:spacing w:val="20"/>
        </w:rPr>
      </w:pPr>
      <w:r>
        <w:rPr>
          <w:rFonts w:ascii="Trebuchet MS" w:hAnsi="Trebuchet MS"/>
          <w:spacing w:val="20"/>
        </w:rPr>
        <w:t>Also</w:t>
      </w:r>
      <w:r w:rsidR="006027AC">
        <w:rPr>
          <w:rFonts w:ascii="Trebuchet MS" w:hAnsi="Trebuchet MS"/>
          <w:spacing w:val="20"/>
        </w:rPr>
        <w:t>,</w:t>
      </w:r>
      <w:r>
        <w:rPr>
          <w:rFonts w:ascii="Trebuchet MS" w:hAnsi="Trebuchet MS"/>
          <w:spacing w:val="20"/>
        </w:rPr>
        <w:t xml:space="preserve"> in the case of </w:t>
      </w:r>
      <w:r w:rsidRPr="003D7E62">
        <w:rPr>
          <w:rFonts w:ascii="Trebuchet MS" w:hAnsi="Trebuchet MS"/>
          <w:b/>
          <w:i/>
          <w:spacing w:val="20"/>
        </w:rPr>
        <w:t>Chime v. Ezea</w:t>
      </w:r>
      <w:r w:rsidR="006027AC">
        <w:rPr>
          <w:rFonts w:ascii="Trebuchet MS" w:hAnsi="Trebuchet MS"/>
          <w:spacing w:val="20"/>
        </w:rPr>
        <w:t>,</w:t>
      </w:r>
      <w:r>
        <w:rPr>
          <w:rStyle w:val="FootnoteReference"/>
          <w:rFonts w:ascii="Trebuchet MS" w:hAnsi="Trebuchet MS"/>
          <w:spacing w:val="20"/>
        </w:rPr>
        <w:footnoteReference w:id="109"/>
      </w:r>
      <w:r w:rsidR="006027AC">
        <w:rPr>
          <w:rFonts w:ascii="Trebuchet MS" w:hAnsi="Trebuchet MS"/>
          <w:spacing w:val="20"/>
        </w:rPr>
        <w:t xml:space="preserve"> </w:t>
      </w:r>
      <w:r w:rsidR="006027AC" w:rsidRPr="003D7E62">
        <w:rPr>
          <w:rFonts w:ascii="Trebuchet MS" w:hAnsi="Trebuchet MS"/>
          <w:b/>
          <w:spacing w:val="20"/>
        </w:rPr>
        <w:t>Saulawa, J.C.A</w:t>
      </w:r>
      <w:r w:rsidR="006027AC">
        <w:rPr>
          <w:rFonts w:ascii="Trebuchet MS" w:hAnsi="Trebuchet MS"/>
          <w:spacing w:val="20"/>
        </w:rPr>
        <w:t>. held thus:</w:t>
      </w:r>
    </w:p>
    <w:p w14:paraId="6622DD2E" w14:textId="052591AE" w:rsidR="00857605" w:rsidRDefault="00924546" w:rsidP="00E47BA8">
      <w:pPr>
        <w:spacing w:line="480" w:lineRule="auto"/>
        <w:ind w:left="1440" w:firstLine="720"/>
        <w:contextualSpacing/>
        <w:jc w:val="both"/>
        <w:rPr>
          <w:rFonts w:ascii="Trebuchet MS" w:hAnsi="Trebuchet MS"/>
          <w:spacing w:val="20"/>
        </w:rPr>
      </w:pPr>
      <w:r>
        <w:rPr>
          <w:rFonts w:ascii="Trebuchet MS" w:hAnsi="Trebuchet MS"/>
          <w:spacing w:val="20"/>
        </w:rPr>
        <w:t>“</w:t>
      </w:r>
      <w:r w:rsidR="006027AC">
        <w:rPr>
          <w:rFonts w:ascii="Trebuchet MS" w:hAnsi="Trebuchet MS"/>
          <w:spacing w:val="20"/>
        </w:rPr>
        <w:t>What’s more, petitioners’ counsel’s analysis heavily relied upon by the lower tribunal has amounted to a counsel giving an evidence from the bar which is most unacceptable. It is a well trite fundamental doctrine that the submission of a counsel in a case, no matter how articulate or eloquent, cannot serve as a substitute to pleadings and/or evidence.</w:t>
      </w:r>
      <w:r w:rsidR="005D64BC">
        <w:rPr>
          <w:rFonts w:ascii="Trebuchet MS" w:hAnsi="Trebuchet MS"/>
          <w:spacing w:val="20"/>
        </w:rPr>
        <w:t>”</w:t>
      </w:r>
      <w:r w:rsidR="006027AC">
        <w:rPr>
          <w:rFonts w:ascii="Trebuchet MS" w:hAnsi="Trebuchet MS"/>
          <w:spacing w:val="20"/>
        </w:rPr>
        <w:t xml:space="preserve"> </w:t>
      </w:r>
    </w:p>
    <w:p w14:paraId="1D94EB7F" w14:textId="77777777" w:rsidR="004E7F65" w:rsidRDefault="004E7F65" w:rsidP="00E47BA8">
      <w:pPr>
        <w:spacing w:line="480" w:lineRule="auto"/>
        <w:ind w:left="426"/>
        <w:contextualSpacing/>
        <w:jc w:val="both"/>
        <w:rPr>
          <w:rFonts w:ascii="Trebuchet MS" w:hAnsi="Trebuchet MS"/>
          <w:spacing w:val="20"/>
        </w:rPr>
      </w:pPr>
    </w:p>
    <w:p w14:paraId="72A7BD1C" w14:textId="3BB31C23" w:rsidR="0042517D" w:rsidRPr="00B52906" w:rsidRDefault="00AF1F73" w:rsidP="00E47BA8">
      <w:pPr>
        <w:spacing w:line="480" w:lineRule="auto"/>
        <w:ind w:left="426"/>
        <w:contextualSpacing/>
        <w:jc w:val="both"/>
        <w:rPr>
          <w:rFonts w:ascii="Trebuchet MS" w:hAnsi="Trebuchet MS"/>
          <w:spacing w:val="20"/>
        </w:rPr>
      </w:pPr>
      <w:r>
        <w:rPr>
          <w:rFonts w:ascii="Trebuchet MS" w:hAnsi="Trebuchet MS"/>
          <w:spacing w:val="20"/>
        </w:rPr>
        <w:t>How on earth can analysis</w:t>
      </w:r>
      <w:r w:rsidR="005A30CE">
        <w:rPr>
          <w:rFonts w:ascii="Trebuchet MS" w:hAnsi="Trebuchet MS"/>
          <w:spacing w:val="20"/>
        </w:rPr>
        <w:t xml:space="preserve"> by way of chart</w:t>
      </w:r>
      <w:r>
        <w:rPr>
          <w:rFonts w:ascii="Trebuchet MS" w:hAnsi="Trebuchet MS"/>
          <w:spacing w:val="20"/>
        </w:rPr>
        <w:t xml:space="preserve"> in final written addresses regarding exhibits tendered before the court be regarded as taking the place of evidence. </w:t>
      </w:r>
      <w:r w:rsidR="002A5C4D">
        <w:rPr>
          <w:rFonts w:ascii="Trebuchet MS" w:hAnsi="Trebuchet MS"/>
          <w:spacing w:val="20"/>
        </w:rPr>
        <w:t>It is just obvious that our court</w:t>
      </w:r>
      <w:r w:rsidR="005A30CE">
        <w:rPr>
          <w:rFonts w:ascii="Trebuchet MS" w:hAnsi="Trebuchet MS"/>
          <w:spacing w:val="20"/>
        </w:rPr>
        <w:t>s</w:t>
      </w:r>
      <w:r w:rsidR="002A5C4D">
        <w:rPr>
          <w:rFonts w:ascii="Trebuchet MS" w:hAnsi="Trebuchet MS"/>
          <w:spacing w:val="20"/>
        </w:rPr>
        <w:t xml:space="preserve"> are not just ready to do substantial</w:t>
      </w:r>
      <w:r w:rsidR="005A30CE">
        <w:rPr>
          <w:rFonts w:ascii="Trebuchet MS" w:hAnsi="Trebuchet MS"/>
          <w:spacing w:val="20"/>
        </w:rPr>
        <w:t xml:space="preserve"> justice </w:t>
      </w:r>
      <w:r w:rsidR="002A5C4D">
        <w:rPr>
          <w:rFonts w:ascii="Trebuchet MS" w:hAnsi="Trebuchet MS"/>
          <w:spacing w:val="20"/>
        </w:rPr>
        <w:t>in election petition cases</w:t>
      </w:r>
      <w:r w:rsidR="00660BB4">
        <w:rPr>
          <w:rFonts w:ascii="Trebuchet MS" w:hAnsi="Trebuchet MS"/>
          <w:spacing w:val="20"/>
        </w:rPr>
        <w:t xml:space="preserve"> again</w:t>
      </w:r>
      <w:r w:rsidR="002A5C4D">
        <w:rPr>
          <w:rFonts w:ascii="Trebuchet MS" w:hAnsi="Trebuchet MS"/>
          <w:spacing w:val="20"/>
        </w:rPr>
        <w:t>.</w:t>
      </w:r>
      <w:r w:rsidR="005A30CE">
        <w:rPr>
          <w:rFonts w:ascii="Trebuchet MS" w:hAnsi="Trebuchet MS"/>
          <w:spacing w:val="20"/>
        </w:rPr>
        <w:t xml:space="preserve"> </w:t>
      </w:r>
    </w:p>
    <w:p w14:paraId="5B806F62" w14:textId="35AEB1E0" w:rsidR="00B05B96" w:rsidRPr="00B52906" w:rsidRDefault="005D3C91" w:rsidP="00E47BA8">
      <w:pPr>
        <w:pStyle w:val="ListParagraph"/>
        <w:numPr>
          <w:ilvl w:val="0"/>
          <w:numId w:val="19"/>
        </w:numPr>
        <w:spacing w:line="480" w:lineRule="auto"/>
        <w:ind w:left="426"/>
        <w:jc w:val="both"/>
        <w:rPr>
          <w:rFonts w:ascii="Trebuchet MS" w:hAnsi="Trebuchet MS"/>
          <w:spacing w:val="20"/>
        </w:rPr>
      </w:pPr>
      <w:r w:rsidRPr="003D7E62">
        <w:rPr>
          <w:rFonts w:ascii="Trebuchet MS" w:hAnsi="Trebuchet MS"/>
          <w:b/>
          <w:spacing w:val="20"/>
        </w:rPr>
        <w:t>Dumping of Documents</w:t>
      </w:r>
      <w:r>
        <w:rPr>
          <w:rFonts w:ascii="Trebuchet MS" w:hAnsi="Trebuchet MS"/>
          <w:spacing w:val="20"/>
        </w:rPr>
        <w:t xml:space="preserve">:- </w:t>
      </w:r>
      <w:r w:rsidR="008A6AC2">
        <w:rPr>
          <w:rFonts w:ascii="Trebuchet MS" w:hAnsi="Trebuchet MS"/>
          <w:spacing w:val="20"/>
        </w:rPr>
        <w:t xml:space="preserve">The position of the law is that </w:t>
      </w:r>
      <w:r w:rsidR="00A2643E">
        <w:rPr>
          <w:rFonts w:ascii="Trebuchet MS" w:hAnsi="Trebuchet MS"/>
          <w:spacing w:val="20"/>
        </w:rPr>
        <w:t>when a document is admitted in evidence it should be allowed to speak for itself. The implication is that every inscription on the document should attract the reasonable inference it deserves</w:t>
      </w:r>
      <w:r w:rsidR="000041A4">
        <w:rPr>
          <w:rFonts w:ascii="Trebuchet MS" w:hAnsi="Trebuchet MS"/>
          <w:spacing w:val="20"/>
        </w:rPr>
        <w:t>.</w:t>
      </w:r>
      <w:r w:rsidR="000041A4">
        <w:rPr>
          <w:rStyle w:val="FootnoteReference"/>
          <w:rFonts w:ascii="Trebuchet MS" w:hAnsi="Trebuchet MS"/>
          <w:spacing w:val="20"/>
        </w:rPr>
        <w:footnoteReference w:id="110"/>
      </w:r>
      <w:r w:rsidR="000041A4">
        <w:rPr>
          <w:rFonts w:ascii="Trebuchet MS" w:hAnsi="Trebuchet MS"/>
          <w:spacing w:val="20"/>
        </w:rPr>
        <w:t xml:space="preserve"> Hence, by virtue of section 128(1) of the Evidence Act, 2011 </w:t>
      </w:r>
      <w:r w:rsidR="00B05B96" w:rsidRPr="00B05B96">
        <w:rPr>
          <w:rFonts w:ascii="Trebuchet MS" w:hAnsi="Trebuchet MS"/>
          <w:spacing w:val="20"/>
          <w:lang w:val="en-GB"/>
        </w:rPr>
        <w:t>oral evidence of fact is not admissible in proof of, or to add to, or in contradiction of a written document</w:t>
      </w:r>
      <w:r w:rsidR="00B05B96">
        <w:rPr>
          <w:rFonts w:ascii="Trebuchet MS" w:hAnsi="Trebuchet MS"/>
          <w:spacing w:val="20"/>
          <w:lang w:val="en-GB"/>
        </w:rPr>
        <w:t xml:space="preserve">. </w:t>
      </w:r>
      <w:r w:rsidR="00890609">
        <w:rPr>
          <w:rFonts w:ascii="Trebuchet MS" w:hAnsi="Trebuchet MS"/>
          <w:spacing w:val="20"/>
          <w:lang w:val="en-GB"/>
        </w:rPr>
        <w:t>See the case</w:t>
      </w:r>
      <w:r w:rsidR="00DC15B8">
        <w:rPr>
          <w:rFonts w:ascii="Trebuchet MS" w:hAnsi="Trebuchet MS"/>
          <w:spacing w:val="20"/>
          <w:lang w:val="en-GB"/>
        </w:rPr>
        <w:t>s</w:t>
      </w:r>
      <w:r w:rsidR="00890609">
        <w:rPr>
          <w:rFonts w:ascii="Trebuchet MS" w:hAnsi="Trebuchet MS"/>
          <w:spacing w:val="20"/>
          <w:lang w:val="en-GB"/>
        </w:rPr>
        <w:t xml:space="preserve"> of </w:t>
      </w:r>
      <w:r w:rsidR="00B05B96">
        <w:rPr>
          <w:rFonts w:ascii="Trebuchet MS" w:hAnsi="Trebuchet MS"/>
          <w:b/>
          <w:spacing w:val="20"/>
          <w:lang w:val="en-GB"/>
        </w:rPr>
        <w:t>Agbareh v. Mimra,</w:t>
      </w:r>
      <w:r w:rsidR="00B05B96">
        <w:rPr>
          <w:rStyle w:val="FootnoteReference"/>
          <w:rFonts w:ascii="Trebuchet MS" w:hAnsi="Trebuchet MS"/>
          <w:b/>
          <w:spacing w:val="20"/>
          <w:lang w:val="en-GB"/>
        </w:rPr>
        <w:footnoteReference w:id="111"/>
      </w:r>
      <w:r w:rsidR="00B05B96" w:rsidRPr="00B05B96">
        <w:rPr>
          <w:rFonts w:ascii="Trebuchet MS" w:hAnsi="Trebuchet MS"/>
          <w:b/>
          <w:spacing w:val="20"/>
          <w:lang w:val="en-GB"/>
        </w:rPr>
        <w:t xml:space="preserve"> </w:t>
      </w:r>
      <w:r w:rsidR="00A0602A" w:rsidRPr="00B52906">
        <w:rPr>
          <w:rFonts w:ascii="Trebuchet MS" w:hAnsi="Trebuchet MS"/>
          <w:b/>
          <w:i/>
          <w:spacing w:val="20"/>
        </w:rPr>
        <w:t>Anyanwu v. Uzowuaka</w:t>
      </w:r>
      <w:r w:rsidR="00A0602A">
        <w:rPr>
          <w:rStyle w:val="FootnoteReference"/>
          <w:rFonts w:ascii="Trebuchet MS" w:hAnsi="Trebuchet MS"/>
          <w:spacing w:val="20"/>
        </w:rPr>
        <w:footnoteReference w:id="112"/>
      </w:r>
      <w:r w:rsidR="00A0602A" w:rsidRPr="00B52906">
        <w:rPr>
          <w:rFonts w:ascii="Trebuchet MS" w:hAnsi="Trebuchet MS"/>
          <w:spacing w:val="20"/>
        </w:rPr>
        <w:t xml:space="preserve"> and </w:t>
      </w:r>
      <w:r w:rsidR="00A0602A" w:rsidRPr="00B52906">
        <w:rPr>
          <w:rFonts w:ascii="Trebuchet MS" w:hAnsi="Trebuchet MS"/>
          <w:b/>
          <w:i/>
          <w:spacing w:val="20"/>
        </w:rPr>
        <w:t>Egharevba v. Osagie</w:t>
      </w:r>
      <w:r w:rsidR="0005137F" w:rsidRPr="00B52906">
        <w:rPr>
          <w:rFonts w:ascii="Trebuchet MS" w:hAnsi="Trebuchet MS"/>
          <w:spacing w:val="20"/>
        </w:rPr>
        <w:t>.</w:t>
      </w:r>
      <w:r w:rsidR="00A0602A">
        <w:rPr>
          <w:rStyle w:val="FootnoteReference"/>
          <w:rFonts w:ascii="Trebuchet MS" w:hAnsi="Trebuchet MS"/>
          <w:spacing w:val="20"/>
        </w:rPr>
        <w:footnoteReference w:id="113"/>
      </w:r>
    </w:p>
    <w:p w14:paraId="0B6B6A5D" w14:textId="77777777" w:rsidR="0069284B" w:rsidRDefault="0069284B" w:rsidP="00E47BA8">
      <w:pPr>
        <w:pStyle w:val="ListParagraph"/>
        <w:spacing w:line="480" w:lineRule="auto"/>
        <w:ind w:left="426"/>
        <w:jc w:val="both"/>
        <w:rPr>
          <w:rFonts w:ascii="Trebuchet MS" w:hAnsi="Trebuchet MS"/>
          <w:spacing w:val="20"/>
        </w:rPr>
      </w:pPr>
    </w:p>
    <w:p w14:paraId="65727E2E" w14:textId="4B1E172F" w:rsidR="0005137F" w:rsidRDefault="006372ED" w:rsidP="00E47BA8">
      <w:pPr>
        <w:pStyle w:val="ListParagraph"/>
        <w:spacing w:line="480" w:lineRule="auto"/>
        <w:ind w:left="426"/>
        <w:jc w:val="both"/>
        <w:rPr>
          <w:rFonts w:ascii="Trebuchet MS" w:hAnsi="Trebuchet MS"/>
          <w:spacing w:val="20"/>
        </w:rPr>
      </w:pPr>
      <w:r>
        <w:rPr>
          <w:rFonts w:ascii="Trebuchet MS" w:hAnsi="Trebuchet MS"/>
          <w:spacing w:val="20"/>
        </w:rPr>
        <w:t xml:space="preserve">From some election petition decisions, it would appear that </w:t>
      </w:r>
      <w:r w:rsidR="0005137F">
        <w:rPr>
          <w:rFonts w:ascii="Trebuchet MS" w:hAnsi="Trebuchet MS"/>
          <w:spacing w:val="20"/>
        </w:rPr>
        <w:t>in election petition cases, documents no longer speak for themselves</w:t>
      </w:r>
      <w:r w:rsidR="003934DB">
        <w:rPr>
          <w:rFonts w:ascii="Trebuchet MS" w:hAnsi="Trebuchet MS"/>
          <w:spacing w:val="20"/>
        </w:rPr>
        <w:t xml:space="preserve"> </w:t>
      </w:r>
      <w:r w:rsidR="00152B7D">
        <w:rPr>
          <w:rFonts w:ascii="Trebuchet MS" w:hAnsi="Trebuchet MS"/>
          <w:spacing w:val="20"/>
        </w:rPr>
        <w:t xml:space="preserve">notwithstanding that they have been </w:t>
      </w:r>
      <w:r w:rsidR="003934DB">
        <w:rPr>
          <w:rFonts w:ascii="Trebuchet MS" w:hAnsi="Trebuchet MS"/>
          <w:spacing w:val="20"/>
        </w:rPr>
        <w:t>tendered and admitted</w:t>
      </w:r>
      <w:r w:rsidR="00152B7D">
        <w:rPr>
          <w:rFonts w:ascii="Trebuchet MS" w:hAnsi="Trebuchet MS"/>
          <w:spacing w:val="20"/>
        </w:rPr>
        <w:t xml:space="preserve"> in evidence. </w:t>
      </w:r>
      <w:r w:rsidR="00336108">
        <w:rPr>
          <w:rFonts w:ascii="Trebuchet MS" w:hAnsi="Trebuchet MS"/>
          <w:spacing w:val="20"/>
        </w:rPr>
        <w:t xml:space="preserve">In the case of </w:t>
      </w:r>
      <w:r w:rsidR="00336108" w:rsidRPr="00B52906">
        <w:rPr>
          <w:rFonts w:ascii="Trebuchet MS" w:hAnsi="Trebuchet MS"/>
          <w:b/>
          <w:i/>
          <w:spacing w:val="20"/>
        </w:rPr>
        <w:t>Goyol v. I.N.E.C. (No. 2)</w:t>
      </w:r>
      <w:r w:rsidR="00336108">
        <w:rPr>
          <w:rStyle w:val="FootnoteReference"/>
          <w:rFonts w:ascii="Trebuchet MS" w:hAnsi="Trebuchet MS"/>
          <w:spacing w:val="20"/>
        </w:rPr>
        <w:footnoteReference w:id="114"/>
      </w:r>
    </w:p>
    <w:p w14:paraId="52B38597" w14:textId="0F740E65" w:rsidR="009A22D9" w:rsidRDefault="009A22D9" w:rsidP="00E47BA8">
      <w:pPr>
        <w:pStyle w:val="ListParagraph"/>
        <w:spacing w:line="480" w:lineRule="auto"/>
        <w:ind w:left="1440"/>
        <w:jc w:val="both"/>
        <w:rPr>
          <w:rFonts w:ascii="Trebuchet MS" w:hAnsi="Trebuchet MS"/>
          <w:spacing w:val="20"/>
        </w:rPr>
      </w:pPr>
      <w:r>
        <w:rPr>
          <w:rFonts w:ascii="Trebuchet MS" w:hAnsi="Trebuchet MS"/>
          <w:spacing w:val="20"/>
        </w:rPr>
        <w:t>“</w:t>
      </w:r>
      <w:r w:rsidRPr="009A22D9">
        <w:rPr>
          <w:rFonts w:ascii="Trebuchet MS" w:hAnsi="Trebuchet MS"/>
          <w:spacing w:val="20"/>
        </w:rPr>
        <w:t>The learned senior counsel for the appellants rightly submitted that documents when tendered and admitted speak for themselves. However documents tendered and admitted in evidence would not be of assistance to the court in the absence of admissible oral evidence by persons who can explain their purpose.</w:t>
      </w:r>
      <w:r>
        <w:rPr>
          <w:rFonts w:ascii="Trebuchet MS" w:hAnsi="Trebuchet MS"/>
          <w:spacing w:val="20"/>
        </w:rPr>
        <w:t>”</w:t>
      </w:r>
    </w:p>
    <w:p w14:paraId="17BEC4CB" w14:textId="77777777" w:rsidR="00D73637" w:rsidRPr="003D7E62" w:rsidRDefault="00D73637" w:rsidP="00E47BA8">
      <w:pPr>
        <w:pStyle w:val="ListParagraph"/>
        <w:spacing w:line="480" w:lineRule="auto"/>
        <w:ind w:left="1440"/>
        <w:jc w:val="both"/>
        <w:rPr>
          <w:rFonts w:ascii="Trebuchet MS" w:hAnsi="Trebuchet MS"/>
          <w:spacing w:val="20"/>
          <w:sz w:val="14"/>
        </w:rPr>
      </w:pPr>
    </w:p>
    <w:p w14:paraId="5CC5E3E5" w14:textId="77777777" w:rsidR="00BE5B0F" w:rsidRDefault="00BE5B0F" w:rsidP="00E47BA8">
      <w:pPr>
        <w:pStyle w:val="ListParagraph"/>
        <w:spacing w:line="480" w:lineRule="auto"/>
        <w:ind w:left="426"/>
        <w:jc w:val="both"/>
        <w:rPr>
          <w:rFonts w:ascii="Trebuchet MS" w:hAnsi="Trebuchet MS"/>
          <w:spacing w:val="20"/>
        </w:rPr>
      </w:pPr>
      <w:r>
        <w:rPr>
          <w:rFonts w:ascii="Trebuchet MS" w:hAnsi="Trebuchet MS"/>
          <w:spacing w:val="20"/>
        </w:rPr>
        <w:t xml:space="preserve">Further, in the case of </w:t>
      </w:r>
      <w:r w:rsidRPr="00597E46">
        <w:rPr>
          <w:rFonts w:ascii="Trebuchet MS" w:hAnsi="Trebuchet MS"/>
          <w:i/>
          <w:spacing w:val="20"/>
        </w:rPr>
        <w:t>A.C.N. v. Lamido</w:t>
      </w:r>
      <w:r>
        <w:rPr>
          <w:rFonts w:ascii="Trebuchet MS" w:hAnsi="Trebuchet MS"/>
          <w:spacing w:val="20"/>
        </w:rPr>
        <w:t xml:space="preserve"> [2012] 8 NWLR (Pt. 1303) 560 at 584-585, paras. H-A, Mohammed, J.S.C. held thus:</w:t>
      </w:r>
    </w:p>
    <w:p w14:paraId="20E77317" w14:textId="32C22638" w:rsidR="00BE5B0F" w:rsidRDefault="00BE5B0F" w:rsidP="00E47BA8">
      <w:pPr>
        <w:pStyle w:val="ListParagraph"/>
        <w:spacing w:line="480" w:lineRule="auto"/>
        <w:ind w:left="1440" w:firstLine="720"/>
        <w:jc w:val="both"/>
        <w:rPr>
          <w:rFonts w:ascii="Trebuchet MS" w:hAnsi="Trebuchet MS"/>
          <w:spacing w:val="20"/>
        </w:rPr>
      </w:pPr>
      <w:r>
        <w:rPr>
          <w:rFonts w:ascii="Trebuchet MS" w:hAnsi="Trebuchet MS"/>
          <w:spacing w:val="20"/>
        </w:rPr>
        <w:t xml:space="preserve">“All these serious allegations in various paragraphs of the petition must be supported by oral evidence to tie the relevant documents admitted in evidence to various acts of non-compliance or alterations complained of in the documents. It is certainly not the duty of the trial </w:t>
      </w:r>
      <w:r w:rsidR="00034EE2">
        <w:rPr>
          <w:rFonts w:ascii="Trebuchet MS" w:hAnsi="Trebuchet MS"/>
          <w:spacing w:val="20"/>
        </w:rPr>
        <w:t>tribunal or the court below to place Exhibits ‘E’-‘Z’ and 1-36 on the table and examine them one by one in order to determine whether or not the appellant’s petition had been established to be entitled to the reliefs sought.”</w:t>
      </w:r>
      <w:r>
        <w:rPr>
          <w:rFonts w:ascii="Trebuchet MS" w:hAnsi="Trebuchet MS"/>
          <w:spacing w:val="20"/>
        </w:rPr>
        <w:t xml:space="preserve">  </w:t>
      </w:r>
    </w:p>
    <w:p w14:paraId="4C7CA92A" w14:textId="39EE8519" w:rsidR="0005137F" w:rsidRDefault="00D75C21" w:rsidP="00E47BA8">
      <w:pPr>
        <w:pStyle w:val="ListParagraph"/>
        <w:spacing w:line="480" w:lineRule="auto"/>
        <w:ind w:left="426"/>
        <w:jc w:val="both"/>
        <w:rPr>
          <w:rFonts w:ascii="Trebuchet MS" w:hAnsi="Trebuchet MS"/>
          <w:spacing w:val="20"/>
        </w:rPr>
      </w:pPr>
      <w:r>
        <w:rPr>
          <w:rFonts w:ascii="Trebuchet MS" w:hAnsi="Trebuchet MS"/>
          <w:spacing w:val="20"/>
        </w:rPr>
        <w:t>Likewise</w:t>
      </w:r>
      <w:r w:rsidR="008779D5">
        <w:rPr>
          <w:rFonts w:ascii="Trebuchet MS" w:hAnsi="Trebuchet MS"/>
          <w:spacing w:val="20"/>
        </w:rPr>
        <w:t xml:space="preserve">, in the case of </w:t>
      </w:r>
      <w:r w:rsidR="00D73637" w:rsidRPr="00B52906">
        <w:rPr>
          <w:rFonts w:ascii="Trebuchet MS" w:hAnsi="Trebuchet MS"/>
          <w:b/>
          <w:i/>
          <w:spacing w:val="20"/>
        </w:rPr>
        <w:t>Ucha v. Elechi</w:t>
      </w:r>
      <w:r w:rsidR="008779D5">
        <w:rPr>
          <w:rFonts w:ascii="Trebuchet MS" w:hAnsi="Trebuchet MS"/>
          <w:spacing w:val="20"/>
        </w:rPr>
        <w:t>,</w:t>
      </w:r>
      <w:r w:rsidR="00D73637">
        <w:rPr>
          <w:rStyle w:val="FootnoteReference"/>
          <w:rFonts w:ascii="Trebuchet MS" w:hAnsi="Trebuchet MS"/>
          <w:spacing w:val="20"/>
        </w:rPr>
        <w:footnoteReference w:id="115"/>
      </w:r>
      <w:r w:rsidR="00D73637" w:rsidRPr="00D73637">
        <w:rPr>
          <w:rFonts w:ascii="Trebuchet MS" w:hAnsi="Trebuchet MS"/>
          <w:spacing w:val="20"/>
        </w:rPr>
        <w:t xml:space="preserve"> </w:t>
      </w:r>
      <w:r w:rsidR="00D73637" w:rsidRPr="00B52906">
        <w:rPr>
          <w:rFonts w:ascii="Trebuchet MS" w:hAnsi="Trebuchet MS"/>
          <w:b/>
          <w:spacing w:val="20"/>
        </w:rPr>
        <w:t>Rhodes-Vivour J.S.C.,</w:t>
      </w:r>
      <w:r w:rsidR="008779D5">
        <w:rPr>
          <w:rFonts w:ascii="Trebuchet MS" w:hAnsi="Trebuchet MS"/>
          <w:spacing w:val="20"/>
        </w:rPr>
        <w:t xml:space="preserve"> held thus:</w:t>
      </w:r>
    </w:p>
    <w:p w14:paraId="45F7F122" w14:textId="77777777" w:rsidR="003D7E62" w:rsidRPr="003D7E62" w:rsidRDefault="003D7E62" w:rsidP="00E47BA8">
      <w:pPr>
        <w:pStyle w:val="ListParagraph"/>
        <w:spacing w:line="480" w:lineRule="auto"/>
        <w:ind w:left="426"/>
        <w:jc w:val="both"/>
        <w:rPr>
          <w:rFonts w:ascii="Trebuchet MS" w:hAnsi="Trebuchet MS"/>
          <w:spacing w:val="20"/>
          <w:sz w:val="14"/>
        </w:rPr>
      </w:pPr>
    </w:p>
    <w:p w14:paraId="42078391" w14:textId="2A7F6F82" w:rsidR="008779D5" w:rsidRDefault="008779D5" w:rsidP="00E47BA8">
      <w:pPr>
        <w:pStyle w:val="ListParagraph"/>
        <w:spacing w:line="480" w:lineRule="auto"/>
        <w:ind w:left="1440"/>
        <w:jc w:val="both"/>
        <w:rPr>
          <w:rFonts w:ascii="Trebuchet MS" w:hAnsi="Trebuchet MS"/>
          <w:spacing w:val="20"/>
        </w:rPr>
      </w:pPr>
      <w:r>
        <w:rPr>
          <w:rFonts w:ascii="Trebuchet MS" w:hAnsi="Trebuchet MS"/>
          <w:spacing w:val="20"/>
        </w:rPr>
        <w:t>“</w:t>
      </w:r>
      <w:r w:rsidRPr="008779D5">
        <w:rPr>
          <w:rFonts w:ascii="Trebuchet MS" w:hAnsi="Trebuchet MS"/>
          <w:spacing w:val="20"/>
        </w:rPr>
        <w:t>I cannot agree more with the above. When a party decides to rely on documents to prove his case, there must be a link between the</w:t>
      </w:r>
      <w:r w:rsidR="005C6F50">
        <w:rPr>
          <w:rFonts w:ascii="Trebuchet MS" w:hAnsi="Trebuchet MS"/>
          <w:spacing w:val="20"/>
        </w:rPr>
        <w:t xml:space="preserve"> document and the specific area</w:t>
      </w:r>
      <w:r w:rsidRPr="008779D5">
        <w:rPr>
          <w:rFonts w:ascii="Trebuchet MS" w:hAnsi="Trebuchet MS"/>
          <w:spacing w:val="20"/>
        </w:rPr>
        <w:t>s of the petition. He must relate each document to the specific area of the case for which the document was tendered. On no account must counsel dump documents on a trial court. No court would spend precious judicial time linking documents to specific areas of a party’s case.</w:t>
      </w:r>
    </w:p>
    <w:p w14:paraId="4BFE8A62" w14:textId="5A647820" w:rsidR="008779D5" w:rsidRDefault="008779D5" w:rsidP="00E47BA8">
      <w:pPr>
        <w:pStyle w:val="ListParagraph"/>
        <w:spacing w:line="480" w:lineRule="auto"/>
        <w:ind w:left="1440"/>
        <w:jc w:val="both"/>
        <w:rPr>
          <w:rFonts w:ascii="Trebuchet MS" w:hAnsi="Trebuchet MS"/>
          <w:spacing w:val="20"/>
        </w:rPr>
      </w:pPr>
      <w:r>
        <w:rPr>
          <w:rFonts w:ascii="Trebuchet MS" w:hAnsi="Trebuchet MS"/>
          <w:spacing w:val="20"/>
        </w:rPr>
        <w:t>A Judge is to descend from his heavenly abode, no lower than the treepots, resolve earthly disputes and return to the Supreme Lord. His duty entails examining the case as presented by the parties in accordance with standards well laid down. Where a Judge abandons that duty and starts looking for irregularities in electoral documents, and investigating documents not properly before him, he would most likely be submerged in the dust of the conflict and render a p</w:t>
      </w:r>
      <w:r w:rsidR="00A86DDB">
        <w:rPr>
          <w:rFonts w:ascii="Trebuchet MS" w:hAnsi="Trebuchet MS"/>
          <w:spacing w:val="20"/>
        </w:rPr>
        <w:t>e</w:t>
      </w:r>
      <w:r>
        <w:rPr>
          <w:rFonts w:ascii="Trebuchet MS" w:hAnsi="Trebuchet MS"/>
          <w:spacing w:val="20"/>
        </w:rPr>
        <w:t>r</w:t>
      </w:r>
      <w:r w:rsidR="00A86DDB">
        <w:rPr>
          <w:rFonts w:ascii="Trebuchet MS" w:hAnsi="Trebuchet MS"/>
          <w:spacing w:val="20"/>
        </w:rPr>
        <w:t>vers</w:t>
      </w:r>
      <w:r>
        <w:rPr>
          <w:rFonts w:ascii="Trebuchet MS" w:hAnsi="Trebuchet MS"/>
          <w:spacing w:val="20"/>
        </w:rPr>
        <w:t>e judgment in the process.</w:t>
      </w:r>
      <w:r w:rsidR="00D75C21">
        <w:rPr>
          <w:rFonts w:ascii="Trebuchet MS" w:hAnsi="Trebuchet MS"/>
          <w:spacing w:val="20"/>
        </w:rPr>
        <w:t>”</w:t>
      </w:r>
    </w:p>
    <w:p w14:paraId="3BB8CA4B" w14:textId="77777777" w:rsidR="008779D5" w:rsidRDefault="008779D5" w:rsidP="00E47BA8">
      <w:pPr>
        <w:pStyle w:val="ListParagraph"/>
        <w:spacing w:line="480" w:lineRule="auto"/>
        <w:ind w:left="426"/>
        <w:jc w:val="both"/>
        <w:rPr>
          <w:rFonts w:ascii="Trebuchet MS" w:hAnsi="Trebuchet MS"/>
          <w:spacing w:val="20"/>
        </w:rPr>
      </w:pPr>
    </w:p>
    <w:p w14:paraId="31850F20" w14:textId="4B734D46" w:rsidR="008779D5" w:rsidRDefault="00B5432C" w:rsidP="00E47BA8">
      <w:pPr>
        <w:pStyle w:val="ListParagraph"/>
        <w:spacing w:line="480" w:lineRule="auto"/>
        <w:ind w:left="426"/>
        <w:jc w:val="both"/>
        <w:rPr>
          <w:rFonts w:ascii="Trebuchet MS" w:hAnsi="Trebuchet MS"/>
          <w:b/>
          <w:spacing w:val="20"/>
        </w:rPr>
      </w:pPr>
      <w:r>
        <w:rPr>
          <w:rFonts w:ascii="Trebuchet MS" w:hAnsi="Trebuchet MS"/>
          <w:spacing w:val="20"/>
        </w:rPr>
        <w:t>See also the case</w:t>
      </w:r>
      <w:r w:rsidR="00F94FB3">
        <w:rPr>
          <w:rFonts w:ascii="Trebuchet MS" w:hAnsi="Trebuchet MS"/>
          <w:spacing w:val="20"/>
        </w:rPr>
        <w:t>s</w:t>
      </w:r>
      <w:r>
        <w:rPr>
          <w:rFonts w:ascii="Trebuchet MS" w:hAnsi="Trebuchet MS"/>
          <w:spacing w:val="20"/>
        </w:rPr>
        <w:t xml:space="preserve"> of</w:t>
      </w:r>
      <w:r w:rsidR="006A5E66">
        <w:rPr>
          <w:rFonts w:ascii="Trebuchet MS" w:hAnsi="Trebuchet MS"/>
          <w:spacing w:val="20"/>
        </w:rPr>
        <w:t xml:space="preserve"> </w:t>
      </w:r>
      <w:r w:rsidR="006A5E66" w:rsidRPr="00B52906">
        <w:rPr>
          <w:rFonts w:ascii="Trebuchet MS" w:hAnsi="Trebuchet MS"/>
          <w:b/>
          <w:i/>
          <w:spacing w:val="20"/>
        </w:rPr>
        <w:t>A.N.P.P v. I.N.E.C</w:t>
      </w:r>
      <w:r w:rsidR="006A5E66">
        <w:rPr>
          <w:rFonts w:ascii="Trebuchet MS" w:hAnsi="Trebuchet MS"/>
          <w:spacing w:val="20"/>
        </w:rPr>
        <w:t>.</w:t>
      </w:r>
      <w:r w:rsidR="0022758B">
        <w:rPr>
          <w:rFonts w:ascii="Trebuchet MS" w:hAnsi="Trebuchet MS"/>
          <w:spacing w:val="20"/>
        </w:rPr>
        <w:t>,</w:t>
      </w:r>
      <w:r w:rsidR="006A5E66">
        <w:rPr>
          <w:rStyle w:val="FootnoteReference"/>
          <w:rFonts w:ascii="Trebuchet MS" w:hAnsi="Trebuchet MS"/>
          <w:spacing w:val="20"/>
        </w:rPr>
        <w:footnoteReference w:id="116"/>
      </w:r>
      <w:r w:rsidR="00F94FB3">
        <w:rPr>
          <w:rFonts w:ascii="Trebuchet MS" w:hAnsi="Trebuchet MS"/>
          <w:spacing w:val="20"/>
        </w:rPr>
        <w:t xml:space="preserve"> </w:t>
      </w:r>
      <w:r w:rsidR="00F94FB3" w:rsidRPr="00B52906">
        <w:rPr>
          <w:rFonts w:ascii="Trebuchet MS" w:hAnsi="Trebuchet MS"/>
          <w:b/>
          <w:i/>
          <w:spacing w:val="20"/>
        </w:rPr>
        <w:t>A.N.P.P. v. Usman</w:t>
      </w:r>
      <w:r w:rsidR="00F94FB3">
        <w:rPr>
          <w:rStyle w:val="FootnoteReference"/>
          <w:rFonts w:ascii="Trebuchet MS" w:hAnsi="Trebuchet MS"/>
          <w:spacing w:val="20"/>
        </w:rPr>
        <w:footnoteReference w:id="117"/>
      </w:r>
      <w:r w:rsidR="0022758B">
        <w:rPr>
          <w:rFonts w:ascii="Trebuchet MS" w:hAnsi="Trebuchet MS"/>
          <w:b/>
          <w:i/>
          <w:spacing w:val="20"/>
        </w:rPr>
        <w:t xml:space="preserve"> </w:t>
      </w:r>
      <w:r w:rsidR="0022758B" w:rsidRPr="003D7E62">
        <w:rPr>
          <w:rFonts w:ascii="Trebuchet MS" w:hAnsi="Trebuchet MS"/>
          <w:spacing w:val="20"/>
        </w:rPr>
        <w:t>and</w:t>
      </w:r>
      <w:r w:rsidR="0022758B" w:rsidRPr="0022758B">
        <w:rPr>
          <w:rFonts w:ascii="Trebuchet MS" w:hAnsi="Trebuchet MS"/>
          <w:spacing w:val="20"/>
        </w:rPr>
        <w:t xml:space="preserve"> </w:t>
      </w:r>
      <w:r w:rsidR="0022758B" w:rsidRPr="003D7E62">
        <w:rPr>
          <w:rFonts w:ascii="Trebuchet MS" w:hAnsi="Trebuchet MS"/>
          <w:b/>
          <w:spacing w:val="20"/>
        </w:rPr>
        <w:t>Chime v. Ezea</w:t>
      </w:r>
      <w:r w:rsidR="00B46C51">
        <w:rPr>
          <w:rStyle w:val="FootnoteReference"/>
          <w:rFonts w:ascii="Trebuchet MS" w:hAnsi="Trebuchet MS"/>
          <w:b/>
          <w:spacing w:val="20"/>
        </w:rPr>
        <w:footnoteReference w:id="118"/>
      </w:r>
    </w:p>
    <w:p w14:paraId="53EA7A65" w14:textId="77777777" w:rsidR="003D7E62" w:rsidRPr="003D7E62" w:rsidRDefault="003D7E62" w:rsidP="00E47BA8">
      <w:pPr>
        <w:pStyle w:val="ListParagraph"/>
        <w:spacing w:line="480" w:lineRule="auto"/>
        <w:ind w:left="426"/>
        <w:jc w:val="both"/>
        <w:rPr>
          <w:rFonts w:ascii="Trebuchet MS" w:hAnsi="Trebuchet MS"/>
          <w:spacing w:val="20"/>
          <w:sz w:val="14"/>
        </w:rPr>
      </w:pPr>
    </w:p>
    <w:p w14:paraId="210E0290" w14:textId="2754A391" w:rsidR="008779D5" w:rsidRPr="00B52906" w:rsidRDefault="00E52496" w:rsidP="00E47BA8">
      <w:pPr>
        <w:pStyle w:val="ListParagraph"/>
        <w:spacing w:line="480" w:lineRule="auto"/>
        <w:ind w:left="426"/>
        <w:jc w:val="both"/>
        <w:rPr>
          <w:rFonts w:ascii="Trebuchet MS" w:hAnsi="Trebuchet MS"/>
          <w:spacing w:val="20"/>
        </w:rPr>
      </w:pPr>
      <w:r>
        <w:rPr>
          <w:rFonts w:ascii="Trebuchet MS" w:hAnsi="Trebuchet MS"/>
          <w:spacing w:val="20"/>
        </w:rPr>
        <w:t>It is submitted that</w:t>
      </w:r>
      <w:r w:rsidR="008D061B">
        <w:rPr>
          <w:rFonts w:ascii="Trebuchet MS" w:hAnsi="Trebuchet MS"/>
          <w:spacing w:val="20"/>
        </w:rPr>
        <w:t xml:space="preserve"> the various decisions of these courts</w:t>
      </w:r>
      <w:r w:rsidR="006B041C">
        <w:rPr>
          <w:rFonts w:ascii="Trebuchet MS" w:hAnsi="Trebuchet MS"/>
          <w:spacing w:val="20"/>
        </w:rPr>
        <w:t xml:space="preserve"> in election petition would mean that</w:t>
      </w:r>
      <w:r w:rsidR="00E056E1">
        <w:rPr>
          <w:rFonts w:ascii="Trebuchet MS" w:hAnsi="Trebuchet MS"/>
          <w:spacing w:val="20"/>
        </w:rPr>
        <w:t xml:space="preserve"> in election petition cases</w:t>
      </w:r>
      <w:r w:rsidR="006B041C">
        <w:rPr>
          <w:rFonts w:ascii="Trebuchet MS" w:hAnsi="Trebuchet MS"/>
          <w:spacing w:val="20"/>
        </w:rPr>
        <w:t xml:space="preserve"> (a) documents tendered and admitted in evidence no longer speak for themselves (2) oral evidence can be given to add to, contradict or vary the content of documents</w:t>
      </w:r>
      <w:r w:rsidR="00E056E1">
        <w:rPr>
          <w:rFonts w:ascii="Trebuchet MS" w:hAnsi="Trebuchet MS"/>
          <w:spacing w:val="20"/>
        </w:rPr>
        <w:t xml:space="preserve"> contrary to the provision of section 128(1) of the Evidence Act, 2011</w:t>
      </w:r>
      <w:r w:rsidR="006B041C">
        <w:rPr>
          <w:rFonts w:ascii="Trebuchet MS" w:hAnsi="Trebuchet MS"/>
          <w:spacing w:val="20"/>
        </w:rPr>
        <w:t xml:space="preserve"> and (3) documentary evidence is longer the best form of evidence. </w:t>
      </w:r>
      <w:r w:rsidR="00DD441B">
        <w:rPr>
          <w:rFonts w:ascii="Trebuchet MS" w:hAnsi="Trebuchet MS"/>
          <w:spacing w:val="20"/>
        </w:rPr>
        <w:t xml:space="preserve">If this is the case, then this cannot be regarded as substantial justice to </w:t>
      </w:r>
      <w:r w:rsidR="000106AF">
        <w:rPr>
          <w:rFonts w:ascii="Trebuchet MS" w:hAnsi="Trebuchet MS"/>
          <w:spacing w:val="20"/>
        </w:rPr>
        <w:t>election petition cases</w:t>
      </w:r>
      <w:r w:rsidR="00DD441B">
        <w:rPr>
          <w:rFonts w:ascii="Trebuchet MS" w:hAnsi="Trebuchet MS"/>
          <w:spacing w:val="20"/>
        </w:rPr>
        <w:t xml:space="preserve"> because rules and laws in election petition cases ought to be relaxed </w:t>
      </w:r>
      <w:r w:rsidR="000106AF">
        <w:rPr>
          <w:rFonts w:ascii="Trebuchet MS" w:hAnsi="Trebuchet MS"/>
          <w:spacing w:val="20"/>
        </w:rPr>
        <w:t xml:space="preserve">even </w:t>
      </w:r>
      <w:r w:rsidR="00DD441B">
        <w:rPr>
          <w:rFonts w:ascii="Trebuchet MS" w:hAnsi="Trebuchet MS"/>
          <w:spacing w:val="20"/>
        </w:rPr>
        <w:t>more than the ordinary civil matters.</w:t>
      </w:r>
      <w:r w:rsidR="00CD4F6F">
        <w:rPr>
          <w:rFonts w:ascii="Trebuchet MS" w:hAnsi="Trebuchet MS"/>
          <w:spacing w:val="20"/>
        </w:rPr>
        <w:t xml:space="preserve"> In fact, this is an obvious case of substantial injustice to the peti</w:t>
      </w:r>
      <w:r w:rsidR="00F93F43">
        <w:rPr>
          <w:rFonts w:ascii="Trebuchet MS" w:hAnsi="Trebuchet MS"/>
          <w:spacing w:val="20"/>
        </w:rPr>
        <w:t>t</w:t>
      </w:r>
      <w:r w:rsidR="00CD4F6F">
        <w:rPr>
          <w:rFonts w:ascii="Trebuchet MS" w:hAnsi="Trebuchet MS"/>
          <w:spacing w:val="20"/>
        </w:rPr>
        <w:t>ioners.</w:t>
      </w:r>
      <w:r w:rsidR="005C6F50">
        <w:rPr>
          <w:rFonts w:ascii="Trebuchet MS" w:hAnsi="Trebuchet MS"/>
          <w:spacing w:val="20"/>
        </w:rPr>
        <w:t xml:space="preserve"> Furthermore, what is the role or duty of a judicial officer if it is not to link evidence with Documents?. Beyond this, how on earth within a spate of 180 days</w:t>
      </w:r>
      <w:r w:rsidR="00B77AED">
        <w:rPr>
          <w:rFonts w:ascii="Trebuchet MS" w:hAnsi="Trebuchet MS"/>
          <w:spacing w:val="20"/>
        </w:rPr>
        <w:t xml:space="preserve"> does one</w:t>
      </w:r>
      <w:r w:rsidR="005C6F50">
        <w:rPr>
          <w:rFonts w:ascii="Trebuchet MS" w:hAnsi="Trebuchet MS"/>
          <w:spacing w:val="20"/>
        </w:rPr>
        <w:t xml:space="preserve"> expect documents to be tendered one by one by each witness. Worse off is even the fact that in most trials, Tribunals allocates number of days for presentation by each party. Where then lies the just</w:t>
      </w:r>
      <w:r w:rsidR="00B77AED">
        <w:rPr>
          <w:rFonts w:ascii="Trebuchet MS" w:hAnsi="Trebuchet MS"/>
          <w:spacing w:val="20"/>
        </w:rPr>
        <w:t>ice</w:t>
      </w:r>
      <w:r w:rsidR="005C6F50">
        <w:rPr>
          <w:rFonts w:ascii="Trebuchet MS" w:hAnsi="Trebuchet MS"/>
          <w:spacing w:val="20"/>
        </w:rPr>
        <w:t xml:space="preserve"> in the face of all these?</w:t>
      </w:r>
    </w:p>
    <w:p w14:paraId="50AF27A7" w14:textId="4D62DAE6" w:rsidR="0071750A" w:rsidRPr="00B52906" w:rsidRDefault="000A5E7D" w:rsidP="00E47BA8">
      <w:pPr>
        <w:pStyle w:val="ListParagraph"/>
        <w:numPr>
          <w:ilvl w:val="0"/>
          <w:numId w:val="19"/>
        </w:numPr>
        <w:spacing w:line="480" w:lineRule="auto"/>
        <w:ind w:left="426"/>
        <w:jc w:val="both"/>
        <w:rPr>
          <w:rFonts w:ascii="Trebuchet MS" w:hAnsi="Trebuchet MS"/>
          <w:spacing w:val="20"/>
        </w:rPr>
      </w:pPr>
      <w:r>
        <w:rPr>
          <w:rFonts w:ascii="Trebuchet MS" w:hAnsi="Trebuchet MS"/>
          <w:spacing w:val="20"/>
        </w:rPr>
        <w:t>Interpretation of section</w:t>
      </w:r>
      <w:r w:rsidR="00E34494">
        <w:rPr>
          <w:rFonts w:ascii="Trebuchet MS" w:hAnsi="Trebuchet MS"/>
          <w:spacing w:val="20"/>
        </w:rPr>
        <w:t xml:space="preserve"> 285(6) and (7) of the 1999 Constitution of the</w:t>
      </w:r>
      <w:r>
        <w:rPr>
          <w:rFonts w:ascii="Trebuchet MS" w:hAnsi="Trebuchet MS"/>
          <w:spacing w:val="20"/>
        </w:rPr>
        <w:t xml:space="preserve"> </w:t>
      </w:r>
      <w:r w:rsidR="00E34494">
        <w:rPr>
          <w:rFonts w:ascii="Trebuchet MS" w:hAnsi="Trebuchet MS"/>
          <w:spacing w:val="20"/>
        </w:rPr>
        <w:t>Federal Republic of Nigeria:-</w:t>
      </w:r>
      <w:r w:rsidR="006B1C61">
        <w:rPr>
          <w:rFonts w:ascii="Trebuchet MS" w:hAnsi="Trebuchet MS"/>
          <w:spacing w:val="20"/>
        </w:rPr>
        <w:t xml:space="preserve"> A</w:t>
      </w:r>
      <w:r w:rsidR="0095604F" w:rsidRPr="00B52906">
        <w:rPr>
          <w:rFonts w:ascii="Trebuchet MS" w:hAnsi="Trebuchet MS"/>
          <w:spacing w:val="20"/>
        </w:rPr>
        <w:t xml:space="preserve">n election tribunal </w:t>
      </w:r>
      <w:r w:rsidR="00D33679" w:rsidRPr="00B52906">
        <w:rPr>
          <w:rFonts w:ascii="Trebuchet MS" w:hAnsi="Trebuchet MS"/>
          <w:spacing w:val="20"/>
        </w:rPr>
        <w:t xml:space="preserve">is expected to </w:t>
      </w:r>
      <w:r w:rsidR="0095604F" w:rsidRPr="00B52906">
        <w:rPr>
          <w:rFonts w:ascii="Trebuchet MS" w:hAnsi="Trebuchet MS"/>
          <w:spacing w:val="20"/>
        </w:rPr>
        <w:t>deliver its judgment in writing within 180 days from the date of filing of the petition.</w:t>
      </w:r>
      <w:r w:rsidR="0095604F">
        <w:rPr>
          <w:rStyle w:val="FootnoteReference"/>
          <w:rFonts w:ascii="Trebuchet MS" w:hAnsi="Trebuchet MS"/>
          <w:spacing w:val="20"/>
        </w:rPr>
        <w:footnoteReference w:id="119"/>
      </w:r>
      <w:r w:rsidR="00D37F56" w:rsidRPr="00B52906">
        <w:rPr>
          <w:rFonts w:ascii="Trebuchet MS" w:hAnsi="Trebuchet MS"/>
          <w:spacing w:val="20"/>
        </w:rPr>
        <w:t xml:space="preserve"> </w:t>
      </w:r>
      <w:r w:rsidR="006C1446" w:rsidRPr="00B52906">
        <w:rPr>
          <w:rFonts w:ascii="Trebuchet MS" w:hAnsi="Trebuchet MS"/>
          <w:spacing w:val="20"/>
        </w:rPr>
        <w:t>A</w:t>
      </w:r>
      <w:r w:rsidR="0081637E" w:rsidRPr="00B52906">
        <w:rPr>
          <w:rFonts w:ascii="Trebuchet MS" w:hAnsi="Trebuchet MS"/>
          <w:spacing w:val="20"/>
        </w:rPr>
        <w:t xml:space="preserve"> </w:t>
      </w:r>
      <w:r w:rsidR="006C1446" w:rsidRPr="00B52906">
        <w:rPr>
          <w:rFonts w:ascii="Trebuchet MS" w:hAnsi="Trebuchet MS"/>
          <w:spacing w:val="20"/>
        </w:rPr>
        <w:t xml:space="preserve">petition against Presidential Election that is challenging one-third or half of the States of the Federation will be required to call thousands of witnesses in proof of his petition. If this is the case, how </w:t>
      </w:r>
      <w:r w:rsidR="00D33679" w:rsidRPr="00B52906">
        <w:rPr>
          <w:rFonts w:ascii="Trebuchet MS" w:hAnsi="Trebuchet MS"/>
          <w:spacing w:val="20"/>
        </w:rPr>
        <w:t xml:space="preserve">on earth </w:t>
      </w:r>
      <w:r w:rsidR="006C1446" w:rsidRPr="00B52906">
        <w:rPr>
          <w:rFonts w:ascii="Trebuchet MS" w:hAnsi="Trebuchet MS"/>
          <w:spacing w:val="20"/>
        </w:rPr>
        <w:t>will the petitioner be able to present all his witnesses and for the respondents to present theirs within the time frame of 180 days?</w:t>
      </w:r>
      <w:r w:rsidR="009C7F02">
        <w:rPr>
          <w:rFonts w:ascii="Trebuchet MS" w:hAnsi="Trebuchet MS"/>
          <w:spacing w:val="20"/>
        </w:rPr>
        <w:t xml:space="preserve"> </w:t>
      </w:r>
      <w:r w:rsidR="006C1446" w:rsidRPr="00B52906">
        <w:rPr>
          <w:rFonts w:ascii="Trebuchet MS" w:hAnsi="Trebuchet MS"/>
          <w:spacing w:val="20"/>
        </w:rPr>
        <w:t>This is practically impossible. This situation is also applicable to the Governorship and National Assembly election</w:t>
      </w:r>
      <w:r w:rsidR="00450AB2" w:rsidRPr="00B52906">
        <w:rPr>
          <w:rFonts w:ascii="Trebuchet MS" w:hAnsi="Trebuchet MS"/>
          <w:spacing w:val="20"/>
        </w:rPr>
        <w:t xml:space="preserve"> petition</w:t>
      </w:r>
      <w:r w:rsidR="006C1446" w:rsidRPr="00B52906">
        <w:rPr>
          <w:rFonts w:ascii="Trebuchet MS" w:hAnsi="Trebuchet MS"/>
          <w:spacing w:val="20"/>
        </w:rPr>
        <w:t>. Petition in this circumstance will only be possible if the petitioner is, in the case of Governorship peti</w:t>
      </w:r>
      <w:r w:rsidR="00450AB2" w:rsidRPr="00B52906">
        <w:rPr>
          <w:rFonts w:ascii="Trebuchet MS" w:hAnsi="Trebuchet MS"/>
          <w:spacing w:val="20"/>
        </w:rPr>
        <w:t>t</w:t>
      </w:r>
      <w:r w:rsidR="006C1446" w:rsidRPr="00B52906">
        <w:rPr>
          <w:rFonts w:ascii="Trebuchet MS" w:hAnsi="Trebuchet MS"/>
          <w:spacing w:val="20"/>
        </w:rPr>
        <w:t>ion, chal</w:t>
      </w:r>
      <w:r w:rsidR="00450AB2" w:rsidRPr="00B52906">
        <w:rPr>
          <w:rFonts w:ascii="Trebuchet MS" w:hAnsi="Trebuchet MS"/>
          <w:spacing w:val="20"/>
        </w:rPr>
        <w:t>lenging only one or two local G</w:t>
      </w:r>
      <w:r w:rsidR="006C1446" w:rsidRPr="00B52906">
        <w:rPr>
          <w:rFonts w:ascii="Trebuchet MS" w:hAnsi="Trebuchet MS"/>
          <w:spacing w:val="20"/>
        </w:rPr>
        <w:t>overnment</w:t>
      </w:r>
      <w:r w:rsidR="00297D76" w:rsidRPr="00B52906">
        <w:rPr>
          <w:rFonts w:ascii="Trebuchet MS" w:hAnsi="Trebuchet MS"/>
          <w:spacing w:val="20"/>
        </w:rPr>
        <w:t>s</w:t>
      </w:r>
      <w:r w:rsidR="00BB3008" w:rsidRPr="00B52906">
        <w:rPr>
          <w:rFonts w:ascii="Trebuchet MS" w:hAnsi="Trebuchet MS"/>
          <w:spacing w:val="20"/>
        </w:rPr>
        <w:t xml:space="preserve">. </w:t>
      </w:r>
      <w:r w:rsidR="00450AB2" w:rsidRPr="00B52906">
        <w:rPr>
          <w:rFonts w:ascii="Trebuchet MS" w:hAnsi="Trebuchet MS"/>
          <w:spacing w:val="20"/>
        </w:rPr>
        <w:t>Where one challenges about 10 local Government in a State, the Petition is likely to be dead on arrival. In the case of presidential election petition challenging just a State of the Federation</w:t>
      </w:r>
      <w:r w:rsidR="002B6548" w:rsidRPr="00B52906">
        <w:rPr>
          <w:rFonts w:ascii="Trebuchet MS" w:hAnsi="Trebuchet MS"/>
          <w:spacing w:val="20"/>
        </w:rPr>
        <w:t>,</w:t>
      </w:r>
      <w:r w:rsidR="00450AB2" w:rsidRPr="00B52906">
        <w:rPr>
          <w:rFonts w:ascii="Trebuchet MS" w:hAnsi="Trebuchet MS"/>
          <w:spacing w:val="20"/>
        </w:rPr>
        <w:t xml:space="preserve"> </w:t>
      </w:r>
      <w:r w:rsidR="002B6548" w:rsidRPr="00B52906">
        <w:rPr>
          <w:rFonts w:ascii="Trebuchet MS" w:hAnsi="Trebuchet MS"/>
          <w:spacing w:val="20"/>
        </w:rPr>
        <w:t xml:space="preserve">it will be a joke for a petitioner to call his witnesses within 180 days and expect to succeed in his </w:t>
      </w:r>
      <w:r w:rsidR="00297D76" w:rsidRPr="00B52906">
        <w:rPr>
          <w:rFonts w:ascii="Trebuchet MS" w:hAnsi="Trebuchet MS"/>
          <w:spacing w:val="20"/>
        </w:rPr>
        <w:t>petition</w:t>
      </w:r>
      <w:r w:rsidR="00CE0458" w:rsidRPr="00B52906">
        <w:rPr>
          <w:rFonts w:ascii="Trebuchet MS" w:hAnsi="Trebuchet MS"/>
          <w:spacing w:val="20"/>
        </w:rPr>
        <w:t>. Worst still,</w:t>
      </w:r>
      <w:r w:rsidR="00F21E64" w:rsidRPr="00B52906">
        <w:rPr>
          <w:rFonts w:ascii="Trebuchet MS" w:hAnsi="Trebuchet MS"/>
          <w:spacing w:val="20"/>
        </w:rPr>
        <w:t xml:space="preserve"> the Supreme Court</w:t>
      </w:r>
      <w:r w:rsidR="00CE0458" w:rsidRPr="00B52906">
        <w:rPr>
          <w:rFonts w:ascii="Trebuchet MS" w:hAnsi="Trebuchet MS"/>
          <w:spacing w:val="20"/>
        </w:rPr>
        <w:t xml:space="preserve"> in the case of </w:t>
      </w:r>
      <w:r w:rsidR="00CE0458" w:rsidRPr="00B52906">
        <w:rPr>
          <w:rFonts w:ascii="Trebuchet MS" w:hAnsi="Trebuchet MS"/>
          <w:b/>
          <w:i/>
          <w:spacing w:val="20"/>
        </w:rPr>
        <w:t>Gundiri v. Nyako</w:t>
      </w:r>
      <w:r w:rsidR="00CE0458">
        <w:rPr>
          <w:rStyle w:val="FootnoteReference"/>
          <w:rFonts w:ascii="Trebuchet MS" w:hAnsi="Trebuchet MS"/>
          <w:spacing w:val="20"/>
        </w:rPr>
        <w:footnoteReference w:id="120"/>
      </w:r>
      <w:r w:rsidR="00CE0458" w:rsidRPr="00B52906">
        <w:rPr>
          <w:rFonts w:ascii="Trebuchet MS" w:hAnsi="Trebuchet MS"/>
          <w:spacing w:val="20"/>
        </w:rPr>
        <w:t xml:space="preserve"> held that “T</w:t>
      </w:r>
      <w:r w:rsidR="00F21E64" w:rsidRPr="00B52906">
        <w:rPr>
          <w:rFonts w:ascii="Trebuchet MS" w:hAnsi="Trebuchet MS"/>
          <w:spacing w:val="20"/>
        </w:rPr>
        <w:t xml:space="preserve">he best evidence </w:t>
      </w:r>
      <w:r w:rsidR="00CE0458" w:rsidRPr="00B52906">
        <w:rPr>
          <w:rFonts w:ascii="Trebuchet MS" w:hAnsi="Trebuchet MS"/>
          <w:spacing w:val="20"/>
        </w:rPr>
        <w:t>the appellants could have had was that of the agents at the polling units who were physically on ground and in true position to testify as to what transpired at an election. The consequence of shutting them out for whatever reason is very detrimental to the appellan</w:t>
      </w:r>
      <w:r w:rsidR="00795741" w:rsidRPr="00B52906">
        <w:rPr>
          <w:rFonts w:ascii="Trebuchet MS" w:hAnsi="Trebuchet MS"/>
          <w:spacing w:val="20"/>
        </w:rPr>
        <w:t xml:space="preserve">ts’ case.” </w:t>
      </w:r>
      <w:r w:rsidR="002E7B32" w:rsidRPr="00B52906">
        <w:rPr>
          <w:rFonts w:ascii="Trebuchet MS" w:hAnsi="Trebuchet MS"/>
          <w:spacing w:val="20"/>
        </w:rPr>
        <w:t>Thi</w:t>
      </w:r>
      <w:r w:rsidR="002244C5" w:rsidRPr="00B52906">
        <w:rPr>
          <w:rFonts w:ascii="Trebuchet MS" w:hAnsi="Trebuchet MS"/>
          <w:spacing w:val="20"/>
        </w:rPr>
        <w:t>s situation fits the latin maxim</w:t>
      </w:r>
      <w:r w:rsidR="002E7B32" w:rsidRPr="00B52906">
        <w:rPr>
          <w:rFonts w:ascii="Trebuchet MS" w:hAnsi="Trebuchet MS"/>
          <w:spacing w:val="20"/>
        </w:rPr>
        <w:t xml:space="preserve"> </w:t>
      </w:r>
      <w:r w:rsidR="002E7B32" w:rsidRPr="00B52906">
        <w:rPr>
          <w:rFonts w:ascii="Trebuchet MS" w:hAnsi="Trebuchet MS"/>
          <w:i/>
          <w:spacing w:val="20"/>
        </w:rPr>
        <w:t>lex non cogit ad impossibillia</w:t>
      </w:r>
      <w:r w:rsidR="006400E9" w:rsidRPr="00B52906">
        <w:rPr>
          <w:rFonts w:ascii="Trebuchet MS" w:hAnsi="Trebuchet MS"/>
          <w:i/>
          <w:spacing w:val="20"/>
        </w:rPr>
        <w:t>.</w:t>
      </w:r>
      <w:r w:rsidR="007C5268" w:rsidRPr="00B52906">
        <w:rPr>
          <w:rStyle w:val="FootnoteReference"/>
          <w:rFonts w:ascii="Trebuchet MS" w:hAnsi="Trebuchet MS"/>
          <w:spacing w:val="20"/>
        </w:rPr>
        <w:footnoteReference w:id="121"/>
      </w:r>
      <w:r w:rsidR="006400E9" w:rsidRPr="00B52906">
        <w:rPr>
          <w:rFonts w:ascii="Trebuchet MS" w:hAnsi="Trebuchet MS"/>
          <w:spacing w:val="20"/>
        </w:rPr>
        <w:t xml:space="preserve"> </w:t>
      </w:r>
      <w:r w:rsidR="00971CDE" w:rsidRPr="00B52906">
        <w:rPr>
          <w:rFonts w:ascii="Trebuchet MS" w:hAnsi="Trebuchet MS"/>
          <w:spacing w:val="20"/>
        </w:rPr>
        <w:t xml:space="preserve"> The implication of this</w:t>
      </w:r>
      <w:r w:rsidR="00B916BA" w:rsidRPr="00B52906">
        <w:rPr>
          <w:rFonts w:ascii="Trebuchet MS" w:hAnsi="Trebuchet MS"/>
          <w:spacing w:val="20"/>
        </w:rPr>
        <w:t xml:space="preserve"> will then be that the Tribunals either do not want the petition properly tried or</w:t>
      </w:r>
      <w:r w:rsidR="00971CDE" w:rsidRPr="00B52906">
        <w:rPr>
          <w:rFonts w:ascii="Trebuchet MS" w:hAnsi="Trebuchet MS"/>
          <w:spacing w:val="20"/>
        </w:rPr>
        <w:t xml:space="preserve"> </w:t>
      </w:r>
      <w:r w:rsidR="00B916BA" w:rsidRPr="00B52906">
        <w:rPr>
          <w:rFonts w:ascii="Trebuchet MS" w:hAnsi="Trebuchet MS"/>
          <w:spacing w:val="20"/>
        </w:rPr>
        <w:t>that justice should be rushed and murdered.</w:t>
      </w:r>
      <w:r w:rsidR="009C7F02" w:rsidRPr="00B52906">
        <w:rPr>
          <w:rFonts w:ascii="Trebuchet MS" w:hAnsi="Trebuchet MS"/>
          <w:spacing w:val="20"/>
        </w:rPr>
        <w:t xml:space="preserve"> </w:t>
      </w:r>
      <w:r w:rsidR="000073F9" w:rsidRPr="00B52906">
        <w:rPr>
          <w:rFonts w:ascii="Trebuchet MS" w:hAnsi="Trebuchet MS"/>
          <w:spacing w:val="20"/>
        </w:rPr>
        <w:t xml:space="preserve">See the words of </w:t>
      </w:r>
      <w:r w:rsidR="000073F9" w:rsidRPr="00B52906">
        <w:rPr>
          <w:rFonts w:ascii="Trebuchet MS" w:hAnsi="Trebuchet MS"/>
          <w:b/>
          <w:spacing w:val="20"/>
        </w:rPr>
        <w:t>Ayoola, J.S.C.</w:t>
      </w:r>
      <w:r w:rsidR="000073F9">
        <w:rPr>
          <w:rFonts w:ascii="Trebuchet MS" w:hAnsi="Trebuchet MS"/>
          <w:spacing w:val="20"/>
        </w:rPr>
        <w:t xml:space="preserve"> in the case of </w:t>
      </w:r>
      <w:r w:rsidR="000073F9" w:rsidRPr="00B52906">
        <w:rPr>
          <w:rFonts w:ascii="Trebuchet MS" w:hAnsi="Trebuchet MS"/>
          <w:b/>
          <w:i/>
          <w:spacing w:val="20"/>
        </w:rPr>
        <w:t>Chairman, NPC v. Chairman, Ikere L.G.</w:t>
      </w:r>
      <w:r w:rsidR="000073F9">
        <w:rPr>
          <w:rStyle w:val="FootnoteReference"/>
          <w:rFonts w:ascii="Trebuchet MS" w:hAnsi="Trebuchet MS"/>
          <w:spacing w:val="20"/>
        </w:rPr>
        <w:footnoteReference w:id="122"/>
      </w:r>
      <w:r w:rsidR="000073F9">
        <w:rPr>
          <w:rFonts w:ascii="Trebuchet MS" w:hAnsi="Trebuchet MS"/>
          <w:spacing w:val="20"/>
        </w:rPr>
        <w:t xml:space="preserve"> </w:t>
      </w:r>
    </w:p>
    <w:p w14:paraId="1D2EF254" w14:textId="77777777" w:rsidR="00F94FB3" w:rsidRPr="00B52906" w:rsidRDefault="00F94FB3" w:rsidP="00E47BA8">
      <w:pPr>
        <w:pStyle w:val="ListParagraph"/>
        <w:spacing w:line="480" w:lineRule="auto"/>
        <w:ind w:left="426"/>
        <w:jc w:val="both"/>
        <w:rPr>
          <w:rFonts w:ascii="Trebuchet MS" w:hAnsi="Trebuchet MS"/>
          <w:spacing w:val="20"/>
        </w:rPr>
      </w:pPr>
    </w:p>
    <w:p w14:paraId="47BB837F" w14:textId="10C38CEA" w:rsidR="0075396B" w:rsidRDefault="009851F2" w:rsidP="00E47BA8">
      <w:pPr>
        <w:pStyle w:val="ListParagraph"/>
        <w:spacing w:line="480" w:lineRule="auto"/>
        <w:ind w:left="426"/>
        <w:jc w:val="both"/>
        <w:rPr>
          <w:rFonts w:ascii="Trebuchet MS" w:hAnsi="Trebuchet MS"/>
          <w:spacing w:val="20"/>
        </w:rPr>
      </w:pPr>
      <w:r w:rsidRPr="00B52906">
        <w:rPr>
          <w:rFonts w:ascii="Trebuchet MS" w:hAnsi="Trebuchet MS"/>
          <w:spacing w:val="20"/>
        </w:rPr>
        <w:t xml:space="preserve">In fact, </w:t>
      </w:r>
      <w:r w:rsidR="00C20351" w:rsidRPr="00B52906">
        <w:rPr>
          <w:rFonts w:ascii="Trebuchet MS" w:hAnsi="Trebuchet MS"/>
          <w:spacing w:val="20"/>
        </w:rPr>
        <w:t xml:space="preserve">virtually all the </w:t>
      </w:r>
      <w:r w:rsidR="00D61E7E" w:rsidRPr="00B52906">
        <w:rPr>
          <w:rFonts w:ascii="Trebuchet MS" w:hAnsi="Trebuchet MS"/>
          <w:spacing w:val="20"/>
        </w:rPr>
        <w:t xml:space="preserve">Governorship </w:t>
      </w:r>
      <w:r w:rsidR="00C20351" w:rsidRPr="00B52906">
        <w:rPr>
          <w:rFonts w:ascii="Trebuchet MS" w:hAnsi="Trebuchet MS"/>
          <w:spacing w:val="20"/>
        </w:rPr>
        <w:t xml:space="preserve">election petitions </w:t>
      </w:r>
      <w:r w:rsidR="00F05C70" w:rsidRPr="00B52906">
        <w:rPr>
          <w:rFonts w:ascii="Trebuchet MS" w:hAnsi="Trebuchet MS"/>
          <w:spacing w:val="20"/>
        </w:rPr>
        <w:t>in</w:t>
      </w:r>
      <w:r w:rsidRPr="00B52906">
        <w:rPr>
          <w:rFonts w:ascii="Trebuchet MS" w:hAnsi="Trebuchet MS"/>
          <w:spacing w:val="20"/>
        </w:rPr>
        <w:t xml:space="preserve"> </w:t>
      </w:r>
      <w:r w:rsidR="00876B64" w:rsidRPr="00B52906">
        <w:rPr>
          <w:rFonts w:ascii="Trebuchet MS" w:hAnsi="Trebuchet MS"/>
          <w:spacing w:val="20"/>
        </w:rPr>
        <w:t xml:space="preserve">2011 failed either as a result of the inability of the petitioners to call enough witnesses to proof their case or the inability of the petition to be heard on the merit </w:t>
      </w:r>
      <w:r w:rsidR="00183A65" w:rsidRPr="00B52906">
        <w:rPr>
          <w:rFonts w:ascii="Trebuchet MS" w:hAnsi="Trebuchet MS"/>
          <w:spacing w:val="20"/>
        </w:rPr>
        <w:t xml:space="preserve">due to the </w:t>
      </w:r>
      <w:r w:rsidR="00876B64" w:rsidRPr="00B52906">
        <w:rPr>
          <w:rFonts w:ascii="Trebuchet MS" w:hAnsi="Trebuchet MS"/>
          <w:spacing w:val="20"/>
        </w:rPr>
        <w:t>180 day rule</w:t>
      </w:r>
      <w:r w:rsidR="00183A65" w:rsidRPr="00B52906">
        <w:rPr>
          <w:rFonts w:ascii="Trebuchet MS" w:hAnsi="Trebuchet MS"/>
          <w:spacing w:val="20"/>
        </w:rPr>
        <w:t>.</w:t>
      </w:r>
      <w:r w:rsidR="00AB4023" w:rsidRPr="00B52906">
        <w:rPr>
          <w:rFonts w:ascii="Trebuchet MS" w:hAnsi="Trebuchet MS"/>
          <w:spacing w:val="20"/>
        </w:rPr>
        <w:t xml:space="preserve"> For instance in the case of</w:t>
      </w:r>
      <w:r w:rsidR="0078531D">
        <w:rPr>
          <w:rFonts w:ascii="Trebuchet MS" w:hAnsi="Trebuchet MS"/>
          <w:spacing w:val="20"/>
        </w:rPr>
        <w:t xml:space="preserve"> </w:t>
      </w:r>
      <w:r w:rsidR="00F94FB3" w:rsidRPr="00B52906">
        <w:rPr>
          <w:rFonts w:ascii="Trebuchet MS" w:hAnsi="Trebuchet MS"/>
          <w:b/>
          <w:i/>
          <w:spacing w:val="20"/>
        </w:rPr>
        <w:t>Ugba v. Suswan</w:t>
      </w:r>
      <w:r w:rsidR="00F94FB3">
        <w:rPr>
          <w:rStyle w:val="FootnoteReference"/>
          <w:rFonts w:ascii="Trebuchet MS" w:hAnsi="Trebuchet MS"/>
          <w:spacing w:val="20"/>
        </w:rPr>
        <w:footnoteReference w:id="123"/>
      </w:r>
      <w:r w:rsidR="00F94FB3">
        <w:rPr>
          <w:rFonts w:ascii="Trebuchet MS" w:hAnsi="Trebuchet MS"/>
          <w:spacing w:val="20"/>
        </w:rPr>
        <w:t xml:space="preserve"> </w:t>
      </w:r>
      <w:r w:rsidR="0078531D">
        <w:rPr>
          <w:rFonts w:ascii="Trebuchet MS" w:hAnsi="Trebuchet MS"/>
          <w:spacing w:val="20"/>
        </w:rPr>
        <w:t>The 1</w:t>
      </w:r>
      <w:r w:rsidR="0078531D" w:rsidRPr="00B52906">
        <w:rPr>
          <w:rFonts w:ascii="Trebuchet MS" w:hAnsi="Trebuchet MS"/>
          <w:spacing w:val="20"/>
          <w:vertAlign w:val="superscript"/>
        </w:rPr>
        <w:t>st</w:t>
      </w:r>
      <w:r w:rsidR="0078531D">
        <w:rPr>
          <w:rFonts w:ascii="Trebuchet MS" w:hAnsi="Trebuchet MS"/>
          <w:spacing w:val="20"/>
        </w:rPr>
        <w:t xml:space="preserve"> and 2</w:t>
      </w:r>
      <w:r w:rsidR="0078531D" w:rsidRPr="00B52906">
        <w:rPr>
          <w:rFonts w:ascii="Trebuchet MS" w:hAnsi="Trebuchet MS"/>
          <w:spacing w:val="20"/>
          <w:vertAlign w:val="superscript"/>
        </w:rPr>
        <w:t>nd</w:t>
      </w:r>
      <w:r w:rsidR="0078531D">
        <w:rPr>
          <w:rFonts w:ascii="Trebuchet MS" w:hAnsi="Trebuchet MS"/>
          <w:spacing w:val="20"/>
        </w:rPr>
        <w:t xml:space="preserve"> Appellants who were not satisfied with the Governorship election in Benue State conducted on the 26</w:t>
      </w:r>
      <w:r w:rsidR="0078531D" w:rsidRPr="00B52906">
        <w:rPr>
          <w:rFonts w:ascii="Trebuchet MS" w:hAnsi="Trebuchet MS"/>
          <w:spacing w:val="20"/>
          <w:vertAlign w:val="superscript"/>
        </w:rPr>
        <w:t>th</w:t>
      </w:r>
      <w:r w:rsidR="0078531D">
        <w:rPr>
          <w:rFonts w:ascii="Trebuchet MS" w:hAnsi="Trebuchet MS"/>
          <w:spacing w:val="20"/>
        </w:rPr>
        <w:t xml:space="preserve"> day of April, 2011 filed petition on the 17</w:t>
      </w:r>
      <w:r w:rsidR="0078531D" w:rsidRPr="00B52906">
        <w:rPr>
          <w:rFonts w:ascii="Trebuchet MS" w:hAnsi="Trebuchet MS"/>
          <w:spacing w:val="20"/>
          <w:vertAlign w:val="superscript"/>
        </w:rPr>
        <w:t>th</w:t>
      </w:r>
      <w:r w:rsidR="0078531D">
        <w:rPr>
          <w:rFonts w:ascii="Trebuchet MS" w:hAnsi="Trebuchet MS"/>
          <w:spacing w:val="20"/>
        </w:rPr>
        <w:t xml:space="preserve"> day of May, 2011 before the Governorship Election Tribunal of Benue State, Makurdi. </w:t>
      </w:r>
      <w:r w:rsidR="001F057D">
        <w:rPr>
          <w:rFonts w:ascii="Trebuchet MS" w:hAnsi="Trebuchet MS"/>
          <w:spacing w:val="20"/>
        </w:rPr>
        <w:t>On the 19</w:t>
      </w:r>
      <w:r w:rsidR="001F057D" w:rsidRPr="00B52906">
        <w:rPr>
          <w:rFonts w:ascii="Trebuchet MS" w:hAnsi="Trebuchet MS"/>
          <w:spacing w:val="20"/>
          <w:vertAlign w:val="superscript"/>
        </w:rPr>
        <w:t>th</w:t>
      </w:r>
      <w:r w:rsidR="001F057D">
        <w:rPr>
          <w:rFonts w:ascii="Trebuchet MS" w:hAnsi="Trebuchet MS"/>
          <w:spacing w:val="20"/>
        </w:rPr>
        <w:t xml:space="preserve"> day of September, 2011, t</w:t>
      </w:r>
      <w:r w:rsidR="00F23D17">
        <w:rPr>
          <w:rFonts w:ascii="Trebuchet MS" w:hAnsi="Trebuchet MS"/>
          <w:spacing w:val="20"/>
        </w:rPr>
        <w:t xml:space="preserve">he Court of Appeal allowed an appeal filed by the respondents and struck out the petition for improper commencement of pre-hearing session at the tribunal. The Appellants were dissatisfied with the judgment of the Court of Appeal and appealed to the Supreme Court. </w:t>
      </w:r>
      <w:r w:rsidR="001F057D">
        <w:rPr>
          <w:rFonts w:ascii="Trebuchet MS" w:hAnsi="Trebuchet MS"/>
          <w:spacing w:val="20"/>
        </w:rPr>
        <w:t>On the 14</w:t>
      </w:r>
      <w:r w:rsidR="001F057D" w:rsidRPr="00B52906">
        <w:rPr>
          <w:rFonts w:ascii="Trebuchet MS" w:hAnsi="Trebuchet MS"/>
          <w:spacing w:val="20"/>
          <w:vertAlign w:val="superscript"/>
        </w:rPr>
        <w:t>th</w:t>
      </w:r>
      <w:r w:rsidR="001F057D">
        <w:rPr>
          <w:rFonts w:ascii="Trebuchet MS" w:hAnsi="Trebuchet MS"/>
          <w:spacing w:val="20"/>
        </w:rPr>
        <w:t xml:space="preserve"> day of November, 2011 </w:t>
      </w:r>
      <w:r w:rsidR="002D2A4C">
        <w:rPr>
          <w:rFonts w:ascii="Trebuchet MS" w:hAnsi="Trebuchet MS"/>
          <w:spacing w:val="20"/>
        </w:rPr>
        <w:t>the Supreme Court</w:t>
      </w:r>
      <w:r w:rsidR="00AE3FF4">
        <w:rPr>
          <w:rFonts w:ascii="Trebuchet MS" w:hAnsi="Trebuchet MS"/>
          <w:spacing w:val="20"/>
        </w:rPr>
        <w:t xml:space="preserve"> allowed the appeal </w:t>
      </w:r>
      <w:r w:rsidR="001F057D">
        <w:rPr>
          <w:rFonts w:ascii="Trebuchet MS" w:hAnsi="Trebuchet MS"/>
          <w:spacing w:val="20"/>
        </w:rPr>
        <w:t xml:space="preserve">by holding that application for pre-hearing session could be made either by a letter or motion </w:t>
      </w:r>
      <w:r w:rsidR="001F057D" w:rsidRPr="00B52906">
        <w:rPr>
          <w:rFonts w:ascii="Trebuchet MS" w:hAnsi="Trebuchet MS"/>
          <w:i/>
          <w:spacing w:val="20"/>
        </w:rPr>
        <w:t>ex parte</w:t>
      </w:r>
      <w:r w:rsidR="001F057D">
        <w:rPr>
          <w:rFonts w:ascii="Trebuchet MS" w:hAnsi="Trebuchet MS"/>
          <w:i/>
          <w:spacing w:val="20"/>
        </w:rPr>
        <w:t xml:space="preserve"> </w:t>
      </w:r>
      <w:r w:rsidR="00E6201E" w:rsidRPr="00E6201E">
        <w:rPr>
          <w:rFonts w:ascii="Trebuchet MS" w:hAnsi="Trebuchet MS"/>
          <w:spacing w:val="20"/>
        </w:rPr>
        <w:t xml:space="preserve">or </w:t>
      </w:r>
      <w:r w:rsidR="001F057D" w:rsidRPr="00B52906">
        <w:rPr>
          <w:rFonts w:ascii="Trebuchet MS" w:hAnsi="Trebuchet MS"/>
          <w:spacing w:val="20"/>
        </w:rPr>
        <w:t>on notice</w:t>
      </w:r>
      <w:r w:rsidR="00AE3FF4">
        <w:rPr>
          <w:rFonts w:ascii="Trebuchet MS" w:hAnsi="Trebuchet MS"/>
          <w:spacing w:val="20"/>
        </w:rPr>
        <w:t xml:space="preserve"> and ordered that the petition be heard on the merit</w:t>
      </w:r>
      <w:r w:rsidR="001F057D">
        <w:rPr>
          <w:rFonts w:ascii="Trebuchet MS" w:hAnsi="Trebuchet MS"/>
          <w:spacing w:val="20"/>
        </w:rPr>
        <w:t xml:space="preserve">. </w:t>
      </w:r>
      <w:r w:rsidR="002D2A4C">
        <w:rPr>
          <w:rFonts w:ascii="Trebuchet MS" w:hAnsi="Trebuchet MS"/>
          <w:spacing w:val="20"/>
        </w:rPr>
        <w:t xml:space="preserve">As at the </w:t>
      </w:r>
      <w:r w:rsidR="00AE3FF4">
        <w:rPr>
          <w:rFonts w:ascii="Trebuchet MS" w:hAnsi="Trebuchet MS"/>
          <w:spacing w:val="20"/>
        </w:rPr>
        <w:t xml:space="preserve">time of Judgment (i.e. </w:t>
      </w:r>
      <w:r w:rsidR="002D2A4C">
        <w:rPr>
          <w:rFonts w:ascii="Trebuchet MS" w:hAnsi="Trebuchet MS"/>
          <w:spacing w:val="20"/>
        </w:rPr>
        <w:t>14</w:t>
      </w:r>
      <w:r w:rsidR="002D2A4C" w:rsidRPr="00B52906">
        <w:rPr>
          <w:rFonts w:ascii="Trebuchet MS" w:hAnsi="Trebuchet MS"/>
          <w:spacing w:val="20"/>
          <w:vertAlign w:val="superscript"/>
        </w:rPr>
        <w:t>th</w:t>
      </w:r>
      <w:r w:rsidR="002D2A4C">
        <w:rPr>
          <w:rFonts w:ascii="Trebuchet MS" w:hAnsi="Trebuchet MS"/>
          <w:spacing w:val="20"/>
        </w:rPr>
        <w:t xml:space="preserve"> day of November, 2011</w:t>
      </w:r>
      <w:r w:rsidR="00AE3FF4">
        <w:rPr>
          <w:rFonts w:ascii="Trebuchet MS" w:hAnsi="Trebuchet MS"/>
          <w:spacing w:val="20"/>
        </w:rPr>
        <w:t>)</w:t>
      </w:r>
      <w:r w:rsidR="002D2A4C">
        <w:rPr>
          <w:rFonts w:ascii="Trebuchet MS" w:hAnsi="Trebuchet MS"/>
          <w:spacing w:val="20"/>
        </w:rPr>
        <w:t xml:space="preserve">, </w:t>
      </w:r>
      <w:r w:rsidR="00AE3FF4">
        <w:rPr>
          <w:rFonts w:ascii="Trebuchet MS" w:hAnsi="Trebuchet MS"/>
          <w:spacing w:val="20"/>
        </w:rPr>
        <w:t>the 180 days had expired but t</w:t>
      </w:r>
      <w:r w:rsidR="00F23D17">
        <w:rPr>
          <w:rFonts w:ascii="Trebuchet MS" w:hAnsi="Trebuchet MS"/>
          <w:spacing w:val="20"/>
        </w:rPr>
        <w:t xml:space="preserve">he Supreme Court </w:t>
      </w:r>
      <w:r w:rsidR="00AE3FF4">
        <w:rPr>
          <w:rFonts w:ascii="Trebuchet MS" w:hAnsi="Trebuchet MS"/>
          <w:spacing w:val="20"/>
        </w:rPr>
        <w:t xml:space="preserve">did not consider the effect of same. </w:t>
      </w:r>
      <w:r w:rsidR="000E5F03">
        <w:rPr>
          <w:rFonts w:ascii="Trebuchet MS" w:hAnsi="Trebuchet MS"/>
          <w:spacing w:val="20"/>
        </w:rPr>
        <w:t>While re-trial was on, the Tribunal, on the 28</w:t>
      </w:r>
      <w:r w:rsidR="000E5F03" w:rsidRPr="00B52906">
        <w:rPr>
          <w:rFonts w:ascii="Trebuchet MS" w:hAnsi="Trebuchet MS"/>
          <w:spacing w:val="20"/>
          <w:vertAlign w:val="superscript"/>
        </w:rPr>
        <w:t>th</w:t>
      </w:r>
      <w:r w:rsidR="000E5F03">
        <w:rPr>
          <w:rFonts w:ascii="Trebuchet MS" w:hAnsi="Trebuchet MS"/>
          <w:spacing w:val="20"/>
        </w:rPr>
        <w:t xml:space="preserve"> day of February, 2012</w:t>
      </w:r>
      <w:r w:rsidR="00343463">
        <w:rPr>
          <w:rFonts w:ascii="Trebuchet MS" w:hAnsi="Trebuchet MS"/>
          <w:spacing w:val="20"/>
        </w:rPr>
        <w:t xml:space="preserve"> held that it lacked jurisdiction to entertain the petition based on the purport and effect of section 285(6) of the 1999 Constitution and consequently struck out the petition. The appellants appealed to the Court of Appeal</w:t>
      </w:r>
      <w:r w:rsidR="00A348C8">
        <w:rPr>
          <w:rFonts w:ascii="Trebuchet MS" w:hAnsi="Trebuchet MS"/>
          <w:spacing w:val="20"/>
        </w:rPr>
        <w:t>. The Court of Appeal affirmed the decision of the tribunal.</w:t>
      </w:r>
      <w:r w:rsidR="00343463">
        <w:rPr>
          <w:rFonts w:ascii="Trebuchet MS" w:hAnsi="Trebuchet MS"/>
          <w:spacing w:val="20"/>
        </w:rPr>
        <w:t xml:space="preserve"> </w:t>
      </w:r>
      <w:r w:rsidR="00A348C8">
        <w:rPr>
          <w:rFonts w:ascii="Trebuchet MS" w:hAnsi="Trebuchet MS"/>
          <w:spacing w:val="20"/>
        </w:rPr>
        <w:t>The Appellant</w:t>
      </w:r>
      <w:r w:rsidR="00343463">
        <w:rPr>
          <w:rFonts w:ascii="Trebuchet MS" w:hAnsi="Trebuchet MS"/>
          <w:spacing w:val="20"/>
        </w:rPr>
        <w:t xml:space="preserve"> further </w:t>
      </w:r>
      <w:r w:rsidR="00A348C8">
        <w:rPr>
          <w:rFonts w:ascii="Trebuchet MS" w:hAnsi="Trebuchet MS"/>
          <w:spacing w:val="20"/>
        </w:rPr>
        <w:t xml:space="preserve">appealed </w:t>
      </w:r>
      <w:r w:rsidR="00343463">
        <w:rPr>
          <w:rFonts w:ascii="Trebuchet MS" w:hAnsi="Trebuchet MS"/>
          <w:spacing w:val="20"/>
        </w:rPr>
        <w:t>to the Supreme Court</w:t>
      </w:r>
      <w:r w:rsidR="00527F01">
        <w:rPr>
          <w:rFonts w:ascii="Trebuchet MS" w:hAnsi="Trebuchet MS"/>
          <w:spacing w:val="20"/>
        </w:rPr>
        <w:t>. At the Supreme Court, the respondents raised preliminary objections that in view of the provision of section 285(6) of the 1999 Constitution, the appeals had become academic exercise.</w:t>
      </w:r>
      <w:r w:rsidR="00816D35" w:rsidRPr="00B52906">
        <w:rPr>
          <w:rFonts w:ascii="Trebuchet MS" w:hAnsi="Trebuchet MS"/>
          <w:spacing w:val="20"/>
        </w:rPr>
        <w:t xml:space="preserve"> </w:t>
      </w:r>
      <w:r w:rsidR="00620A15" w:rsidRPr="00B52906">
        <w:rPr>
          <w:rFonts w:ascii="Trebuchet MS" w:hAnsi="Trebuchet MS"/>
          <w:spacing w:val="20"/>
        </w:rPr>
        <w:t xml:space="preserve">The Justices of the Supreme Court </w:t>
      </w:r>
      <w:r w:rsidR="005103A1">
        <w:rPr>
          <w:rFonts w:ascii="Trebuchet MS" w:hAnsi="Trebuchet MS"/>
          <w:spacing w:val="20"/>
        </w:rPr>
        <w:t xml:space="preserve">considered the provisions of section 285(5), (6) and (7) of the 1999 Constitution </w:t>
      </w:r>
      <w:r w:rsidR="008B089F">
        <w:rPr>
          <w:rFonts w:ascii="Trebuchet MS" w:hAnsi="Trebuchet MS"/>
          <w:spacing w:val="20"/>
        </w:rPr>
        <w:t>and held that a tribunal is conferred with jurisdiction to hear petitions within 180 day</w:t>
      </w:r>
      <w:r w:rsidR="00F00520">
        <w:rPr>
          <w:rFonts w:ascii="Trebuchet MS" w:hAnsi="Trebuchet MS"/>
          <w:spacing w:val="20"/>
        </w:rPr>
        <w:t>s from the date the petition is</w:t>
      </w:r>
      <w:r w:rsidR="008B089F">
        <w:rPr>
          <w:rFonts w:ascii="Trebuchet MS" w:hAnsi="Trebuchet MS"/>
          <w:spacing w:val="20"/>
        </w:rPr>
        <w:t xml:space="preserve"> filed. Where an appeal court orders a re-trial, the re-trial must be concluded within the unexhausted days of the 180 days and that no court can extend the 180 days period provided by section 285(6) of the 1999 Constitution.</w:t>
      </w:r>
      <w:r w:rsidR="00E97E66">
        <w:rPr>
          <w:rFonts w:ascii="Trebuchet MS" w:hAnsi="Trebuchet MS"/>
          <w:spacing w:val="20"/>
        </w:rPr>
        <w:t xml:space="preserve"> This was also the decision of the Supreme Court in the case of </w:t>
      </w:r>
      <w:r w:rsidR="00E97E66" w:rsidRPr="00B52906">
        <w:rPr>
          <w:rFonts w:ascii="Trebuchet MS" w:hAnsi="Trebuchet MS"/>
          <w:b/>
          <w:i/>
          <w:spacing w:val="20"/>
        </w:rPr>
        <w:t xml:space="preserve">A.N.P.P. </w:t>
      </w:r>
      <w:r w:rsidR="000656B0" w:rsidRPr="00B52906">
        <w:rPr>
          <w:rFonts w:ascii="Trebuchet MS" w:hAnsi="Trebuchet MS"/>
          <w:b/>
          <w:i/>
          <w:spacing w:val="20"/>
        </w:rPr>
        <w:t xml:space="preserve">v. </w:t>
      </w:r>
      <w:r w:rsidR="00E97E66" w:rsidRPr="00B52906">
        <w:rPr>
          <w:rFonts w:ascii="Trebuchet MS" w:hAnsi="Trebuchet MS"/>
          <w:b/>
          <w:i/>
          <w:spacing w:val="20"/>
        </w:rPr>
        <w:t>Goni</w:t>
      </w:r>
      <w:r w:rsidR="00E97E66">
        <w:rPr>
          <w:rStyle w:val="FootnoteReference"/>
          <w:rFonts w:ascii="Trebuchet MS" w:hAnsi="Trebuchet MS"/>
          <w:spacing w:val="20"/>
        </w:rPr>
        <w:footnoteReference w:id="124"/>
      </w:r>
      <w:r w:rsidR="000656B0">
        <w:rPr>
          <w:rFonts w:ascii="Trebuchet MS" w:hAnsi="Trebuchet MS"/>
          <w:spacing w:val="20"/>
        </w:rPr>
        <w:t xml:space="preserve"> </w:t>
      </w:r>
    </w:p>
    <w:p w14:paraId="30519E2A" w14:textId="77777777" w:rsidR="0075396B" w:rsidRDefault="0075396B" w:rsidP="00E47BA8">
      <w:pPr>
        <w:pStyle w:val="ListParagraph"/>
        <w:spacing w:line="480" w:lineRule="auto"/>
        <w:ind w:left="426"/>
        <w:jc w:val="both"/>
        <w:rPr>
          <w:rFonts w:ascii="Trebuchet MS" w:hAnsi="Trebuchet MS"/>
          <w:spacing w:val="20"/>
        </w:rPr>
      </w:pPr>
    </w:p>
    <w:p w14:paraId="2B4E3515" w14:textId="703E7C2C" w:rsidR="00DE7739" w:rsidRDefault="0062068A" w:rsidP="00E47BA8">
      <w:pPr>
        <w:pStyle w:val="ListParagraph"/>
        <w:spacing w:line="480" w:lineRule="auto"/>
        <w:ind w:left="426"/>
        <w:jc w:val="both"/>
        <w:rPr>
          <w:rFonts w:ascii="Trebuchet MS" w:hAnsi="Trebuchet MS"/>
          <w:spacing w:val="20"/>
        </w:rPr>
      </w:pPr>
      <w:r>
        <w:rPr>
          <w:rFonts w:ascii="Trebuchet MS" w:hAnsi="Trebuchet MS"/>
          <w:spacing w:val="20"/>
        </w:rPr>
        <w:t xml:space="preserve">It is my opinion that where cases are referred back to court for re-trial, </w:t>
      </w:r>
      <w:r w:rsidR="00B77AED">
        <w:rPr>
          <w:rFonts w:ascii="Trebuchet MS" w:hAnsi="Trebuchet MS"/>
          <w:spacing w:val="20"/>
        </w:rPr>
        <w:t>rationality</w:t>
      </w:r>
      <w:r>
        <w:rPr>
          <w:rFonts w:ascii="Trebuchet MS" w:hAnsi="Trebuchet MS"/>
          <w:spacing w:val="20"/>
        </w:rPr>
        <w:t xml:space="preserve"> would require that the 180 days should start to run upon referral.</w:t>
      </w:r>
      <w:r w:rsidR="0075396B">
        <w:rPr>
          <w:rFonts w:ascii="Trebuchet MS" w:hAnsi="Trebuchet MS"/>
          <w:spacing w:val="20"/>
        </w:rPr>
        <w:t xml:space="preserve"> The</w:t>
      </w:r>
      <w:r w:rsidR="008E48DA">
        <w:rPr>
          <w:rFonts w:ascii="Trebuchet MS" w:hAnsi="Trebuchet MS"/>
          <w:spacing w:val="20"/>
        </w:rPr>
        <w:t>se</w:t>
      </w:r>
      <w:r w:rsidR="0075396B">
        <w:rPr>
          <w:rFonts w:ascii="Trebuchet MS" w:hAnsi="Trebuchet MS"/>
          <w:spacing w:val="20"/>
        </w:rPr>
        <w:t xml:space="preserve"> decisions of the Supreme Court that there is nothing it can do spells doom to our judiciary </w:t>
      </w:r>
      <w:r w:rsidR="008E48DA">
        <w:rPr>
          <w:rFonts w:ascii="Trebuchet MS" w:hAnsi="Trebuchet MS"/>
          <w:spacing w:val="20"/>
        </w:rPr>
        <w:t xml:space="preserve">that is </w:t>
      </w:r>
      <w:r w:rsidR="0075396B">
        <w:rPr>
          <w:rFonts w:ascii="Trebuchet MS" w:hAnsi="Trebuchet MS"/>
          <w:spacing w:val="20"/>
        </w:rPr>
        <w:t xml:space="preserve">saddled with the </w:t>
      </w:r>
      <w:r w:rsidR="00150E32">
        <w:rPr>
          <w:rFonts w:ascii="Trebuchet MS" w:hAnsi="Trebuchet MS"/>
          <w:spacing w:val="20"/>
        </w:rPr>
        <w:t>responsibility</w:t>
      </w:r>
      <w:r w:rsidR="0075396B">
        <w:rPr>
          <w:rFonts w:ascii="Trebuchet MS" w:hAnsi="Trebuchet MS"/>
          <w:spacing w:val="20"/>
        </w:rPr>
        <w:t xml:space="preserve"> of interpreting laws</w:t>
      </w:r>
      <w:r w:rsidR="00DA347E">
        <w:rPr>
          <w:rFonts w:ascii="Trebuchet MS" w:hAnsi="Trebuchet MS"/>
          <w:spacing w:val="20"/>
        </w:rPr>
        <w:t xml:space="preserve"> in a manner that would entail justice</w:t>
      </w:r>
      <w:r>
        <w:rPr>
          <w:rFonts w:ascii="Trebuchet MS" w:hAnsi="Trebuchet MS"/>
          <w:spacing w:val="20"/>
        </w:rPr>
        <w:t xml:space="preserve"> </w:t>
      </w:r>
    </w:p>
    <w:p w14:paraId="7257420A" w14:textId="77777777" w:rsidR="00DE7739" w:rsidRPr="00B52906" w:rsidRDefault="00DE7739" w:rsidP="00E47BA8">
      <w:pPr>
        <w:pStyle w:val="ListParagraph"/>
        <w:spacing w:line="480" w:lineRule="auto"/>
        <w:ind w:left="426"/>
        <w:jc w:val="both"/>
        <w:rPr>
          <w:rFonts w:ascii="Trebuchet MS" w:hAnsi="Trebuchet MS"/>
          <w:spacing w:val="20"/>
        </w:rPr>
      </w:pPr>
    </w:p>
    <w:p w14:paraId="14DFB217" w14:textId="0C408EF7" w:rsidR="003D787F" w:rsidRPr="00B52906" w:rsidRDefault="00D35B53" w:rsidP="00E47BA8">
      <w:pPr>
        <w:pStyle w:val="ListParagraph"/>
        <w:spacing w:line="480" w:lineRule="auto"/>
        <w:ind w:left="426"/>
        <w:jc w:val="both"/>
        <w:rPr>
          <w:rFonts w:ascii="Trebuchet MS" w:hAnsi="Trebuchet MS"/>
          <w:spacing w:val="20"/>
        </w:rPr>
      </w:pPr>
      <w:r w:rsidRPr="00B52906">
        <w:rPr>
          <w:rFonts w:ascii="Trebuchet MS" w:hAnsi="Trebuchet MS"/>
          <w:spacing w:val="20"/>
        </w:rPr>
        <w:t xml:space="preserve">If the 180 </w:t>
      </w:r>
      <w:r w:rsidR="00BC782B" w:rsidRPr="00B52906">
        <w:rPr>
          <w:rFonts w:ascii="Trebuchet MS" w:hAnsi="Trebuchet MS"/>
          <w:spacing w:val="20"/>
        </w:rPr>
        <w:t xml:space="preserve">day rule had been codified in the Constitution before the case of </w:t>
      </w:r>
      <w:r w:rsidR="00BC782B" w:rsidRPr="00B52906">
        <w:rPr>
          <w:rFonts w:ascii="Trebuchet MS" w:hAnsi="Trebuchet MS"/>
          <w:b/>
          <w:i/>
          <w:spacing w:val="20"/>
        </w:rPr>
        <w:t>Aregbesola v. Oyinlola</w:t>
      </w:r>
      <w:r w:rsidR="00BC782B">
        <w:rPr>
          <w:rStyle w:val="FootnoteReference"/>
          <w:rFonts w:ascii="Trebuchet MS" w:hAnsi="Trebuchet MS"/>
          <w:spacing w:val="20"/>
        </w:rPr>
        <w:footnoteReference w:id="125"/>
      </w:r>
      <w:r w:rsidR="00BC782B">
        <w:t xml:space="preserve"> </w:t>
      </w:r>
      <w:r w:rsidR="00BC782B" w:rsidRPr="00B52906">
        <w:rPr>
          <w:rFonts w:ascii="Trebuchet MS" w:hAnsi="Trebuchet MS"/>
          <w:spacing w:val="20"/>
        </w:rPr>
        <w:t>was heard</w:t>
      </w:r>
      <w:r w:rsidR="00EF1184" w:rsidRPr="00B52906">
        <w:rPr>
          <w:rFonts w:ascii="Trebuchet MS" w:hAnsi="Trebuchet MS"/>
          <w:spacing w:val="20"/>
        </w:rPr>
        <w:t xml:space="preserve"> and determined</w:t>
      </w:r>
      <w:r w:rsidR="00BC782B" w:rsidRPr="00B52906">
        <w:rPr>
          <w:rFonts w:ascii="Trebuchet MS" w:hAnsi="Trebuchet MS"/>
          <w:spacing w:val="20"/>
        </w:rPr>
        <w:t xml:space="preserve">, </w:t>
      </w:r>
      <w:r w:rsidR="009153A9" w:rsidRPr="00B52906">
        <w:rPr>
          <w:rFonts w:ascii="Trebuchet MS" w:hAnsi="Trebuchet MS"/>
          <w:spacing w:val="20"/>
        </w:rPr>
        <w:t xml:space="preserve">obviously, </w:t>
      </w:r>
      <w:r w:rsidR="00F32042" w:rsidRPr="00B52906">
        <w:rPr>
          <w:rFonts w:ascii="Trebuchet MS" w:hAnsi="Trebuchet MS"/>
          <w:spacing w:val="20"/>
        </w:rPr>
        <w:t xml:space="preserve">the 180 day rule would have caught up with </w:t>
      </w:r>
      <w:r w:rsidR="00BC782B" w:rsidRPr="00B52906">
        <w:rPr>
          <w:rFonts w:ascii="Trebuchet MS" w:hAnsi="Trebuchet MS"/>
          <w:spacing w:val="20"/>
        </w:rPr>
        <w:t>Aregbesola’s petition</w:t>
      </w:r>
      <w:r w:rsidR="00F32042" w:rsidRPr="00B52906">
        <w:rPr>
          <w:rFonts w:ascii="Trebuchet MS" w:hAnsi="Trebuchet MS"/>
          <w:spacing w:val="20"/>
        </w:rPr>
        <w:t>.</w:t>
      </w:r>
      <w:r w:rsidR="00BC782B" w:rsidRPr="00B52906">
        <w:rPr>
          <w:rFonts w:ascii="Trebuchet MS" w:hAnsi="Trebuchet MS"/>
          <w:spacing w:val="20"/>
        </w:rPr>
        <w:t xml:space="preserve"> This is because </w:t>
      </w:r>
      <w:r w:rsidR="00827A7B" w:rsidRPr="00B52906">
        <w:rPr>
          <w:rFonts w:ascii="Trebuchet MS" w:hAnsi="Trebuchet MS"/>
          <w:spacing w:val="20"/>
        </w:rPr>
        <w:t>the petition was filed on May 11, 2007 and the final judgment that found the petition to be meritorious was delivered on the 26</w:t>
      </w:r>
      <w:r w:rsidR="00827A7B" w:rsidRPr="00827A7B">
        <w:rPr>
          <w:vertAlign w:val="superscript"/>
        </w:rPr>
        <w:t>th</w:t>
      </w:r>
      <w:r w:rsidR="00827A7B">
        <w:t xml:space="preserve"> </w:t>
      </w:r>
      <w:r w:rsidR="00827A7B" w:rsidRPr="00B52906">
        <w:rPr>
          <w:rFonts w:ascii="Trebuchet MS" w:hAnsi="Trebuchet MS"/>
          <w:spacing w:val="20"/>
        </w:rPr>
        <w:t>day of November, 2010. The implication is that the petition lasted for 3</w:t>
      </w:r>
      <w:r w:rsidR="006106E3" w:rsidRPr="00B52906">
        <w:rPr>
          <w:rFonts w:ascii="Trebuchet MS" w:hAnsi="Trebuchet MS"/>
          <w:spacing w:val="20"/>
        </w:rPr>
        <w:t xml:space="preserve"> </w:t>
      </w:r>
      <w:r w:rsidR="00827A7B" w:rsidRPr="00B52906">
        <w:rPr>
          <w:rFonts w:ascii="Trebuchet MS" w:hAnsi="Trebuchet MS"/>
          <w:spacing w:val="20"/>
        </w:rPr>
        <w:t xml:space="preserve">years and 6 months. </w:t>
      </w:r>
      <w:r w:rsidR="00C86172">
        <w:rPr>
          <w:rFonts w:ascii="Trebuchet MS" w:hAnsi="Trebuchet MS"/>
          <w:spacing w:val="20"/>
        </w:rPr>
        <w:t xml:space="preserve">Also, the petition of </w:t>
      </w:r>
      <w:r w:rsidR="00C86172" w:rsidRPr="00576238">
        <w:rPr>
          <w:rFonts w:ascii="Trebuchet MS" w:hAnsi="Trebuchet MS"/>
          <w:b/>
          <w:i/>
          <w:spacing w:val="20"/>
        </w:rPr>
        <w:t>Agagu v. Mimiko</w:t>
      </w:r>
      <w:r w:rsidR="00C86172">
        <w:rPr>
          <w:rStyle w:val="FootnoteReference"/>
          <w:rFonts w:ascii="Trebuchet MS" w:hAnsi="Trebuchet MS"/>
          <w:spacing w:val="20"/>
        </w:rPr>
        <w:footnoteReference w:id="126"/>
      </w:r>
      <w:r w:rsidR="00C86172">
        <w:rPr>
          <w:rFonts w:ascii="Trebuchet MS" w:hAnsi="Trebuchet MS"/>
          <w:spacing w:val="20"/>
        </w:rPr>
        <w:t xml:space="preserve"> and the two respective petitions of </w:t>
      </w:r>
      <w:r w:rsidR="00C86172" w:rsidRPr="00576238">
        <w:rPr>
          <w:rFonts w:ascii="Trebuchet MS" w:hAnsi="Trebuchet MS"/>
          <w:b/>
          <w:i/>
          <w:spacing w:val="20"/>
        </w:rPr>
        <w:t>Fayemi v. Oni</w:t>
      </w:r>
      <w:r w:rsidR="00C86172">
        <w:rPr>
          <w:rStyle w:val="FootnoteReference"/>
          <w:rFonts w:ascii="Trebuchet MS" w:hAnsi="Trebuchet MS"/>
          <w:spacing w:val="20"/>
        </w:rPr>
        <w:footnoteReference w:id="127"/>
      </w:r>
      <w:r w:rsidR="00C86172">
        <w:rPr>
          <w:rFonts w:ascii="Trebuchet MS" w:hAnsi="Trebuchet MS"/>
          <w:spacing w:val="20"/>
        </w:rPr>
        <w:t xml:space="preserve"> would have been caught up with the 180 day rule.</w:t>
      </w:r>
    </w:p>
    <w:p w14:paraId="0CF6C13D" w14:textId="77777777" w:rsidR="00386BAD" w:rsidRDefault="00386BAD" w:rsidP="00E47BA8">
      <w:pPr>
        <w:pStyle w:val="ListParagraph"/>
        <w:spacing w:line="480" w:lineRule="auto"/>
        <w:ind w:left="426"/>
        <w:jc w:val="both"/>
      </w:pPr>
    </w:p>
    <w:p w14:paraId="0015C918" w14:textId="45714D2C" w:rsidR="00A67ECB" w:rsidRDefault="00140ACB" w:rsidP="00E47BA8">
      <w:pPr>
        <w:pStyle w:val="ListParagraph"/>
        <w:numPr>
          <w:ilvl w:val="0"/>
          <w:numId w:val="19"/>
        </w:numPr>
        <w:spacing w:line="480" w:lineRule="auto"/>
        <w:ind w:left="426"/>
        <w:jc w:val="both"/>
        <w:rPr>
          <w:rFonts w:ascii="Trebuchet MS" w:hAnsi="Trebuchet MS"/>
          <w:spacing w:val="20"/>
        </w:rPr>
      </w:pPr>
      <w:r w:rsidRPr="007D0CEC">
        <w:rPr>
          <w:rFonts w:ascii="Trebuchet MS" w:hAnsi="Trebuchet MS"/>
          <w:spacing w:val="20"/>
        </w:rPr>
        <w:t>Corruption in the judic</w:t>
      </w:r>
      <w:r w:rsidR="005D1666" w:rsidRPr="007D0CEC">
        <w:rPr>
          <w:rFonts w:ascii="Trebuchet MS" w:hAnsi="Trebuchet MS"/>
          <w:spacing w:val="20"/>
        </w:rPr>
        <w:t xml:space="preserve">iary is also one of the factors that </w:t>
      </w:r>
      <w:r w:rsidR="004057B4" w:rsidRPr="007D0CEC">
        <w:rPr>
          <w:rFonts w:ascii="Trebuchet MS" w:hAnsi="Trebuchet MS"/>
          <w:spacing w:val="20"/>
        </w:rPr>
        <w:t>have</w:t>
      </w:r>
      <w:r w:rsidR="005D1666" w:rsidRPr="007D0CEC">
        <w:rPr>
          <w:rFonts w:ascii="Trebuchet MS" w:hAnsi="Trebuchet MS"/>
          <w:spacing w:val="20"/>
        </w:rPr>
        <w:t xml:space="preserve"> contributed to </w:t>
      </w:r>
      <w:r w:rsidR="00ED7885">
        <w:rPr>
          <w:rFonts w:ascii="Trebuchet MS" w:hAnsi="Trebuchet MS"/>
          <w:spacing w:val="20"/>
        </w:rPr>
        <w:t>substantial injustice in</w:t>
      </w:r>
      <w:r w:rsidR="005D1666" w:rsidRPr="007D0CEC">
        <w:rPr>
          <w:rFonts w:ascii="Trebuchet MS" w:hAnsi="Trebuchet MS"/>
          <w:spacing w:val="20"/>
        </w:rPr>
        <w:t xml:space="preserve"> </w:t>
      </w:r>
      <w:r w:rsidR="004057B4" w:rsidRPr="007D0CEC">
        <w:rPr>
          <w:rFonts w:ascii="Trebuchet MS" w:hAnsi="Trebuchet MS"/>
          <w:spacing w:val="20"/>
        </w:rPr>
        <w:t xml:space="preserve">election </w:t>
      </w:r>
      <w:r w:rsidRPr="007D0CEC">
        <w:rPr>
          <w:rFonts w:ascii="Trebuchet MS" w:hAnsi="Trebuchet MS"/>
          <w:spacing w:val="20"/>
        </w:rPr>
        <w:t>petitions</w:t>
      </w:r>
      <w:r w:rsidR="00ED7885">
        <w:rPr>
          <w:rFonts w:ascii="Trebuchet MS" w:hAnsi="Trebuchet MS"/>
          <w:spacing w:val="20"/>
        </w:rPr>
        <w:t xml:space="preserve"> cases.</w:t>
      </w:r>
      <w:r w:rsidR="007B08F2" w:rsidRPr="007D0CEC">
        <w:rPr>
          <w:rFonts w:ascii="Trebuchet MS" w:hAnsi="Trebuchet MS"/>
          <w:spacing w:val="20"/>
        </w:rPr>
        <w:t xml:space="preserve"> </w:t>
      </w:r>
      <w:r w:rsidR="00ED7885">
        <w:rPr>
          <w:rFonts w:ascii="Trebuchet MS" w:hAnsi="Trebuchet MS"/>
          <w:spacing w:val="20"/>
        </w:rPr>
        <w:t>I</w:t>
      </w:r>
      <w:r w:rsidR="007B08F2" w:rsidRPr="007D0CEC">
        <w:rPr>
          <w:rFonts w:ascii="Trebuchet MS" w:hAnsi="Trebuchet MS"/>
          <w:spacing w:val="20"/>
        </w:rPr>
        <w:t xml:space="preserve">t is without doubt that corruption has seriously eaten deep into </w:t>
      </w:r>
      <w:r w:rsidR="00E85930" w:rsidRPr="007D0CEC">
        <w:rPr>
          <w:rFonts w:ascii="Trebuchet MS" w:hAnsi="Trebuchet MS"/>
          <w:spacing w:val="20"/>
        </w:rPr>
        <w:t>our</w:t>
      </w:r>
      <w:r w:rsidR="007B08F2" w:rsidRPr="007D0CEC">
        <w:rPr>
          <w:rFonts w:ascii="Trebuchet MS" w:hAnsi="Trebuchet MS"/>
          <w:spacing w:val="20"/>
        </w:rPr>
        <w:t xml:space="preserve"> judiciary</w:t>
      </w:r>
      <w:r w:rsidR="00E85930" w:rsidRPr="007D0CEC">
        <w:rPr>
          <w:rFonts w:ascii="Trebuchet MS" w:hAnsi="Trebuchet MS"/>
          <w:spacing w:val="20"/>
        </w:rPr>
        <w:t>, which ought to be regarded,</w:t>
      </w:r>
      <w:r w:rsidR="007B08F2" w:rsidRPr="007D0CEC">
        <w:rPr>
          <w:rFonts w:ascii="Trebuchet MS" w:hAnsi="Trebuchet MS"/>
          <w:spacing w:val="20"/>
        </w:rPr>
        <w:t xml:space="preserve"> </w:t>
      </w:r>
      <w:r w:rsidR="00D14B8B" w:rsidRPr="007D0CEC">
        <w:rPr>
          <w:rFonts w:ascii="Trebuchet MS" w:hAnsi="Trebuchet MS"/>
          <w:spacing w:val="20"/>
        </w:rPr>
        <w:t>as</w:t>
      </w:r>
      <w:r w:rsidR="007B08F2" w:rsidRPr="007D0CEC">
        <w:rPr>
          <w:rFonts w:ascii="Trebuchet MS" w:hAnsi="Trebuchet MS"/>
          <w:spacing w:val="20"/>
        </w:rPr>
        <w:t xml:space="preserve"> </w:t>
      </w:r>
      <w:r w:rsidR="00E85930" w:rsidRPr="007D0CEC">
        <w:rPr>
          <w:rFonts w:ascii="Trebuchet MS" w:hAnsi="Trebuchet MS"/>
          <w:spacing w:val="20"/>
        </w:rPr>
        <w:t>the last hope of</w:t>
      </w:r>
      <w:r w:rsidR="007B08F2" w:rsidRPr="007D0CEC">
        <w:rPr>
          <w:rFonts w:ascii="Trebuchet MS" w:hAnsi="Trebuchet MS"/>
          <w:spacing w:val="20"/>
        </w:rPr>
        <w:t xml:space="preserve"> the common man</w:t>
      </w:r>
      <w:r w:rsidR="005D1666" w:rsidRPr="007D0CEC">
        <w:rPr>
          <w:rFonts w:ascii="Trebuchet MS" w:hAnsi="Trebuchet MS"/>
          <w:spacing w:val="20"/>
        </w:rPr>
        <w:t>.</w:t>
      </w:r>
      <w:r w:rsidR="00936377" w:rsidRPr="007D0CEC">
        <w:rPr>
          <w:rFonts w:ascii="Trebuchet MS" w:hAnsi="Trebuchet MS"/>
          <w:spacing w:val="20"/>
        </w:rPr>
        <w:t xml:space="preserve"> </w:t>
      </w:r>
      <w:r w:rsidR="00BB7344" w:rsidRPr="007D0CEC">
        <w:rPr>
          <w:rFonts w:ascii="Trebuchet MS" w:hAnsi="Trebuchet MS"/>
          <w:spacing w:val="20"/>
        </w:rPr>
        <w:t xml:space="preserve">A number of decisions reached in election </w:t>
      </w:r>
      <w:r w:rsidR="00D03DEF" w:rsidRPr="007D0CEC">
        <w:rPr>
          <w:rFonts w:ascii="Trebuchet MS" w:hAnsi="Trebuchet MS"/>
          <w:spacing w:val="20"/>
        </w:rPr>
        <w:t>petition cases</w:t>
      </w:r>
      <w:r w:rsidR="00BB7344" w:rsidRPr="007D0CEC">
        <w:rPr>
          <w:rFonts w:ascii="Trebuchet MS" w:hAnsi="Trebuchet MS"/>
          <w:spacing w:val="20"/>
        </w:rPr>
        <w:t xml:space="preserve"> were affected as a result of romance between</w:t>
      </w:r>
      <w:r w:rsidR="004616B2">
        <w:rPr>
          <w:rFonts w:ascii="Trebuchet MS" w:hAnsi="Trebuchet MS"/>
          <w:spacing w:val="20"/>
        </w:rPr>
        <w:t xml:space="preserve"> judicial officers</w:t>
      </w:r>
      <w:r w:rsidR="00BB7344" w:rsidRPr="007D0CEC">
        <w:rPr>
          <w:rFonts w:ascii="Trebuchet MS" w:hAnsi="Trebuchet MS"/>
          <w:spacing w:val="20"/>
        </w:rPr>
        <w:t xml:space="preserve"> and the </w:t>
      </w:r>
      <w:r w:rsidR="004616B2">
        <w:rPr>
          <w:rFonts w:ascii="Trebuchet MS" w:hAnsi="Trebuchet MS"/>
          <w:spacing w:val="20"/>
        </w:rPr>
        <w:t>parties</w:t>
      </w:r>
      <w:r w:rsidR="00BB7344" w:rsidRPr="007D0CEC">
        <w:rPr>
          <w:rFonts w:ascii="Trebuchet MS" w:hAnsi="Trebuchet MS"/>
          <w:spacing w:val="20"/>
        </w:rPr>
        <w:t>.</w:t>
      </w:r>
      <w:r w:rsidR="008D5739">
        <w:rPr>
          <w:rFonts w:ascii="Trebuchet MS" w:hAnsi="Trebuchet MS"/>
          <w:spacing w:val="20"/>
        </w:rPr>
        <w:t xml:space="preserve"> A</w:t>
      </w:r>
      <w:r w:rsidR="00DA613F">
        <w:rPr>
          <w:rFonts w:ascii="Trebuchet MS" w:hAnsi="Trebuchet MS"/>
          <w:spacing w:val="20"/>
        </w:rPr>
        <w:t xml:space="preserve"> </w:t>
      </w:r>
      <w:r w:rsidR="000E2FCF">
        <w:rPr>
          <w:rFonts w:ascii="Trebuchet MS" w:hAnsi="Trebuchet MS"/>
          <w:spacing w:val="20"/>
        </w:rPr>
        <w:t xml:space="preserve">classic </w:t>
      </w:r>
      <w:r w:rsidR="00DA613F">
        <w:rPr>
          <w:rFonts w:ascii="Trebuchet MS" w:hAnsi="Trebuchet MS"/>
          <w:spacing w:val="20"/>
        </w:rPr>
        <w:t xml:space="preserve">example </w:t>
      </w:r>
      <w:r w:rsidR="00EB409E">
        <w:rPr>
          <w:rFonts w:ascii="Trebuchet MS" w:hAnsi="Trebuchet MS"/>
          <w:spacing w:val="20"/>
        </w:rPr>
        <w:t xml:space="preserve">is the </w:t>
      </w:r>
      <w:r w:rsidR="004154EE">
        <w:rPr>
          <w:rFonts w:ascii="Trebuchet MS" w:hAnsi="Trebuchet MS"/>
          <w:spacing w:val="20"/>
        </w:rPr>
        <w:t xml:space="preserve">petition </w:t>
      </w:r>
      <w:r w:rsidR="00EB409E">
        <w:rPr>
          <w:rFonts w:ascii="Trebuchet MS" w:hAnsi="Trebuchet MS"/>
          <w:spacing w:val="20"/>
        </w:rPr>
        <w:t>of Aregbesola v. Oyinlola before th</w:t>
      </w:r>
      <w:r w:rsidR="00230829">
        <w:rPr>
          <w:rFonts w:ascii="Trebuchet MS" w:hAnsi="Trebuchet MS"/>
          <w:spacing w:val="20"/>
        </w:rPr>
        <w:t>e Osun State Governorship Election Petition T</w:t>
      </w:r>
      <w:r w:rsidR="00EB409E">
        <w:rPr>
          <w:rFonts w:ascii="Trebuchet MS" w:hAnsi="Trebuchet MS"/>
          <w:spacing w:val="20"/>
        </w:rPr>
        <w:t>ribunal wherein the Chairman of the Tribunal</w:t>
      </w:r>
      <w:r w:rsidR="008D413E">
        <w:rPr>
          <w:rFonts w:ascii="Trebuchet MS" w:hAnsi="Trebuchet MS"/>
          <w:spacing w:val="20"/>
        </w:rPr>
        <w:t xml:space="preserve">, </w:t>
      </w:r>
      <w:r w:rsidR="009A1D14">
        <w:rPr>
          <w:rFonts w:ascii="Trebuchet MS" w:hAnsi="Trebuchet MS"/>
          <w:spacing w:val="20"/>
        </w:rPr>
        <w:t xml:space="preserve">Justice </w:t>
      </w:r>
      <w:r w:rsidR="008D413E">
        <w:rPr>
          <w:rFonts w:ascii="Trebuchet MS" w:hAnsi="Trebuchet MS"/>
          <w:spacing w:val="20"/>
        </w:rPr>
        <w:t>T</w:t>
      </w:r>
      <w:r w:rsidR="009A1D14">
        <w:rPr>
          <w:rFonts w:ascii="Trebuchet MS" w:hAnsi="Trebuchet MS"/>
          <w:spacing w:val="20"/>
        </w:rPr>
        <w:t>.</w:t>
      </w:r>
      <w:r w:rsidR="008D413E">
        <w:rPr>
          <w:rFonts w:ascii="Trebuchet MS" w:hAnsi="Trebuchet MS"/>
          <w:spacing w:val="20"/>
        </w:rPr>
        <w:t xml:space="preserve"> D</w:t>
      </w:r>
      <w:r w:rsidR="009A1D14">
        <w:rPr>
          <w:rFonts w:ascii="Trebuchet MS" w:hAnsi="Trebuchet MS"/>
          <w:spacing w:val="20"/>
        </w:rPr>
        <w:t>.</w:t>
      </w:r>
      <w:r w:rsidR="008D413E">
        <w:rPr>
          <w:rFonts w:ascii="Trebuchet MS" w:hAnsi="Trebuchet MS"/>
          <w:spacing w:val="20"/>
        </w:rPr>
        <w:t xml:space="preserve"> Naron was in constant telephone calls with one of the </w:t>
      </w:r>
      <w:r w:rsidR="003C4260">
        <w:rPr>
          <w:rFonts w:ascii="Trebuchet MS" w:hAnsi="Trebuchet MS"/>
          <w:spacing w:val="20"/>
        </w:rPr>
        <w:t xml:space="preserve">Counsel to Oyinlola and </w:t>
      </w:r>
      <w:r w:rsidR="007A0D01">
        <w:rPr>
          <w:rFonts w:ascii="Trebuchet MS" w:hAnsi="Trebuchet MS"/>
          <w:spacing w:val="20"/>
        </w:rPr>
        <w:t>PDP</w:t>
      </w:r>
      <w:r w:rsidR="008D413E">
        <w:rPr>
          <w:rFonts w:ascii="Trebuchet MS" w:hAnsi="Trebuchet MS"/>
          <w:spacing w:val="20"/>
        </w:rPr>
        <w:t xml:space="preserve"> throughout the </w:t>
      </w:r>
      <w:r w:rsidR="000E2FCF">
        <w:rPr>
          <w:rFonts w:ascii="Trebuchet MS" w:hAnsi="Trebuchet MS"/>
          <w:spacing w:val="20"/>
        </w:rPr>
        <w:t xml:space="preserve">period of the </w:t>
      </w:r>
      <w:r w:rsidR="008D413E">
        <w:rPr>
          <w:rFonts w:ascii="Trebuchet MS" w:hAnsi="Trebuchet MS"/>
          <w:spacing w:val="20"/>
        </w:rPr>
        <w:t>petition</w:t>
      </w:r>
      <w:r w:rsidR="00525FEF">
        <w:rPr>
          <w:rFonts w:ascii="Trebuchet MS" w:hAnsi="Trebuchet MS"/>
          <w:spacing w:val="20"/>
        </w:rPr>
        <w:t xml:space="preserve"> including periods between the time the tribunal went on recess for delivery of rulings to the time of resumption from recess for delivery of </w:t>
      </w:r>
      <w:r w:rsidR="006B27AE">
        <w:rPr>
          <w:rFonts w:ascii="Trebuchet MS" w:hAnsi="Trebuchet MS"/>
          <w:spacing w:val="20"/>
        </w:rPr>
        <w:t>the</w:t>
      </w:r>
      <w:r w:rsidR="00473406">
        <w:rPr>
          <w:rFonts w:ascii="Trebuchet MS" w:hAnsi="Trebuchet MS"/>
          <w:spacing w:val="20"/>
        </w:rPr>
        <w:t>se</w:t>
      </w:r>
      <w:r w:rsidR="006B27AE">
        <w:rPr>
          <w:rFonts w:ascii="Trebuchet MS" w:hAnsi="Trebuchet MS"/>
          <w:spacing w:val="20"/>
        </w:rPr>
        <w:t xml:space="preserve"> </w:t>
      </w:r>
      <w:r w:rsidR="00525FEF">
        <w:rPr>
          <w:rFonts w:ascii="Trebuchet MS" w:hAnsi="Trebuchet MS"/>
          <w:spacing w:val="20"/>
        </w:rPr>
        <w:t>rulings</w:t>
      </w:r>
      <w:r w:rsidR="00EB409E">
        <w:rPr>
          <w:rFonts w:ascii="Trebuchet MS" w:hAnsi="Trebuchet MS"/>
          <w:spacing w:val="20"/>
        </w:rPr>
        <w:t>.</w:t>
      </w:r>
      <w:r w:rsidR="00666FA9">
        <w:rPr>
          <w:rStyle w:val="FootnoteReference"/>
          <w:rFonts w:ascii="Trebuchet MS" w:hAnsi="Trebuchet MS"/>
          <w:spacing w:val="20"/>
        </w:rPr>
        <w:footnoteReference w:id="128"/>
      </w:r>
      <w:r w:rsidR="00D03DEF" w:rsidRPr="005A43AB">
        <w:rPr>
          <w:rFonts w:ascii="Trebuchet MS" w:hAnsi="Trebuchet MS"/>
          <w:spacing w:val="20"/>
        </w:rPr>
        <w:t xml:space="preserve"> </w:t>
      </w:r>
      <w:r w:rsidR="007A0D01">
        <w:rPr>
          <w:rFonts w:ascii="Trebuchet MS" w:hAnsi="Trebuchet MS"/>
          <w:spacing w:val="20"/>
        </w:rPr>
        <w:t xml:space="preserve">The said Justice T. D. Naron was compulsorily retired after he was found guilty of romancing with the said Senior Counsel of PDP. </w:t>
      </w:r>
      <w:r w:rsidR="009301F8">
        <w:rPr>
          <w:rFonts w:ascii="Trebuchet MS" w:hAnsi="Trebuchet MS"/>
          <w:spacing w:val="20"/>
        </w:rPr>
        <w:t>Another example is the</w:t>
      </w:r>
      <w:r w:rsidR="00FB55CC">
        <w:rPr>
          <w:rFonts w:ascii="Trebuchet MS" w:hAnsi="Trebuchet MS"/>
          <w:spacing w:val="20"/>
        </w:rPr>
        <w:t xml:space="preserve"> </w:t>
      </w:r>
      <w:r w:rsidR="00FB55CC" w:rsidRPr="00FB55CC">
        <w:rPr>
          <w:rFonts w:ascii="Trebuchet MS" w:hAnsi="Trebuchet MS"/>
          <w:spacing w:val="20"/>
        </w:rPr>
        <w:t>2007 gubernatorial election in Sokoto State, an election won by Governor Wamakko of the PDP but questioned by Dingyadi of the</w:t>
      </w:r>
      <w:r w:rsidR="00AA70AF">
        <w:rPr>
          <w:rFonts w:ascii="Trebuchet MS" w:hAnsi="Trebuchet MS"/>
          <w:spacing w:val="20"/>
        </w:rPr>
        <w:t xml:space="preserve"> Democratic Peoples Party (DPP). Justice Ayo salami</w:t>
      </w:r>
      <w:r w:rsidR="006032B9">
        <w:rPr>
          <w:rFonts w:ascii="Trebuchet MS" w:hAnsi="Trebuchet MS"/>
          <w:spacing w:val="20"/>
        </w:rPr>
        <w:t xml:space="preserve"> (the then President of the Court of Appeal)</w:t>
      </w:r>
      <w:r w:rsidR="00AA70AF">
        <w:rPr>
          <w:rFonts w:ascii="Trebuchet MS" w:hAnsi="Trebuchet MS"/>
          <w:spacing w:val="20"/>
        </w:rPr>
        <w:t xml:space="preserve"> </w:t>
      </w:r>
      <w:r w:rsidR="00EB5B1D">
        <w:rPr>
          <w:rFonts w:ascii="Trebuchet MS" w:hAnsi="Trebuchet MS"/>
          <w:spacing w:val="20"/>
        </w:rPr>
        <w:t>stated</w:t>
      </w:r>
      <w:r w:rsidR="00AA70AF">
        <w:rPr>
          <w:rFonts w:ascii="Trebuchet MS" w:hAnsi="Trebuchet MS"/>
          <w:spacing w:val="20"/>
        </w:rPr>
        <w:t xml:space="preserve"> </w:t>
      </w:r>
      <w:r w:rsidR="005D4677">
        <w:rPr>
          <w:rFonts w:ascii="Trebuchet MS" w:hAnsi="Trebuchet MS"/>
          <w:spacing w:val="20"/>
        </w:rPr>
        <w:t>that</w:t>
      </w:r>
      <w:r w:rsidR="00F40523">
        <w:rPr>
          <w:rFonts w:ascii="Trebuchet MS" w:hAnsi="Trebuchet MS"/>
          <w:spacing w:val="20"/>
        </w:rPr>
        <w:t>,</w:t>
      </w:r>
      <w:r w:rsidR="00F40523" w:rsidRPr="00F40523">
        <w:rPr>
          <w:rFonts w:ascii="Trebuchet MS" w:hAnsi="Trebuchet MS"/>
          <w:spacing w:val="20"/>
        </w:rPr>
        <w:t xml:space="preserve"> </w:t>
      </w:r>
      <w:r w:rsidR="00F40523">
        <w:rPr>
          <w:rFonts w:ascii="Trebuchet MS" w:hAnsi="Trebuchet MS"/>
          <w:spacing w:val="20"/>
        </w:rPr>
        <w:t>after a prior refusal by him to direct the Sokoto Appeal to dismiss the DPP’s appeal,</w:t>
      </w:r>
      <w:r w:rsidR="005D4677">
        <w:rPr>
          <w:rFonts w:ascii="Trebuchet MS" w:hAnsi="Trebuchet MS"/>
          <w:spacing w:val="20"/>
        </w:rPr>
        <w:t xml:space="preserve"> </w:t>
      </w:r>
      <w:r w:rsidR="004616B2">
        <w:rPr>
          <w:rFonts w:ascii="Trebuchet MS" w:hAnsi="Trebuchet MS"/>
          <w:spacing w:val="20"/>
        </w:rPr>
        <w:t xml:space="preserve">the </w:t>
      </w:r>
      <w:r w:rsidR="005D4677">
        <w:rPr>
          <w:rFonts w:ascii="Trebuchet MS" w:hAnsi="Trebuchet MS"/>
          <w:spacing w:val="20"/>
        </w:rPr>
        <w:t xml:space="preserve">then </w:t>
      </w:r>
      <w:r w:rsidR="00EB5B1D">
        <w:rPr>
          <w:rFonts w:ascii="Trebuchet MS" w:hAnsi="Trebuchet MS"/>
          <w:spacing w:val="20"/>
        </w:rPr>
        <w:t xml:space="preserve">CJN, </w:t>
      </w:r>
      <w:r w:rsidR="005D4677">
        <w:rPr>
          <w:rFonts w:ascii="Trebuchet MS" w:hAnsi="Trebuchet MS"/>
          <w:spacing w:val="20"/>
        </w:rPr>
        <w:t xml:space="preserve">Justice Katsina-Alu, </w:t>
      </w:r>
      <w:r w:rsidR="00F40523">
        <w:rPr>
          <w:rFonts w:ascii="Trebuchet MS" w:hAnsi="Trebuchet MS"/>
          <w:spacing w:val="20"/>
        </w:rPr>
        <w:t xml:space="preserve">further </w:t>
      </w:r>
      <w:r w:rsidR="005D4677">
        <w:rPr>
          <w:rFonts w:ascii="Trebuchet MS" w:hAnsi="Trebuchet MS"/>
          <w:spacing w:val="20"/>
        </w:rPr>
        <w:t xml:space="preserve">interfered with the above case by </w:t>
      </w:r>
      <w:r w:rsidR="00AA70AF">
        <w:rPr>
          <w:rFonts w:ascii="Trebuchet MS" w:hAnsi="Trebuchet MS"/>
          <w:spacing w:val="20"/>
        </w:rPr>
        <w:t>ask</w:t>
      </w:r>
      <w:r w:rsidR="005D4677">
        <w:rPr>
          <w:rFonts w:ascii="Trebuchet MS" w:hAnsi="Trebuchet MS"/>
          <w:spacing w:val="20"/>
        </w:rPr>
        <w:t>ing him</w:t>
      </w:r>
      <w:r w:rsidR="00AA70AF">
        <w:rPr>
          <w:rFonts w:ascii="Trebuchet MS" w:hAnsi="Trebuchet MS"/>
          <w:spacing w:val="20"/>
        </w:rPr>
        <w:t xml:space="preserve"> to dismiss the Court of Appeal panel handling the </w:t>
      </w:r>
      <w:r w:rsidR="007245EC">
        <w:rPr>
          <w:rFonts w:ascii="Trebuchet MS" w:hAnsi="Trebuchet MS"/>
          <w:spacing w:val="20"/>
        </w:rPr>
        <w:t xml:space="preserve">Sokoto Governorship </w:t>
      </w:r>
      <w:r w:rsidR="00AA70AF">
        <w:rPr>
          <w:rFonts w:ascii="Trebuchet MS" w:hAnsi="Trebuchet MS"/>
          <w:spacing w:val="20"/>
        </w:rPr>
        <w:t>case</w:t>
      </w:r>
      <w:r w:rsidR="007245EC">
        <w:rPr>
          <w:rFonts w:ascii="Trebuchet MS" w:hAnsi="Trebuchet MS"/>
          <w:spacing w:val="20"/>
        </w:rPr>
        <w:t>. Refusal by Ayo Salami</w:t>
      </w:r>
      <w:r w:rsidR="006032B9">
        <w:rPr>
          <w:rFonts w:ascii="Trebuchet MS" w:hAnsi="Trebuchet MS"/>
          <w:spacing w:val="20"/>
        </w:rPr>
        <w:t xml:space="preserve"> caused him to be suspended</w:t>
      </w:r>
      <w:r w:rsidR="005A43AB">
        <w:rPr>
          <w:rFonts w:ascii="Trebuchet MS" w:hAnsi="Trebuchet MS"/>
          <w:spacing w:val="20"/>
        </w:rPr>
        <w:t xml:space="preserve"> against the provision of the 1999 Constitution</w:t>
      </w:r>
      <w:r w:rsidR="006032B9">
        <w:rPr>
          <w:rFonts w:ascii="Trebuchet MS" w:hAnsi="Trebuchet MS"/>
          <w:spacing w:val="20"/>
        </w:rPr>
        <w:t xml:space="preserve"> after</w:t>
      </w:r>
      <w:r w:rsidR="00E73D72">
        <w:rPr>
          <w:rFonts w:ascii="Trebuchet MS" w:hAnsi="Trebuchet MS"/>
          <w:spacing w:val="20"/>
        </w:rPr>
        <w:t xml:space="preserve"> </w:t>
      </w:r>
      <w:r w:rsidR="005A43AB">
        <w:rPr>
          <w:rFonts w:ascii="Trebuchet MS" w:hAnsi="Trebuchet MS"/>
          <w:spacing w:val="20"/>
        </w:rPr>
        <w:t xml:space="preserve">Justice </w:t>
      </w:r>
      <w:r w:rsidR="00E73D72">
        <w:rPr>
          <w:rFonts w:ascii="Trebuchet MS" w:hAnsi="Trebuchet MS"/>
          <w:spacing w:val="20"/>
        </w:rPr>
        <w:t xml:space="preserve">Ayo Salami also </w:t>
      </w:r>
      <w:r w:rsidR="006032B9">
        <w:rPr>
          <w:rFonts w:ascii="Trebuchet MS" w:hAnsi="Trebuchet MS"/>
          <w:spacing w:val="20"/>
        </w:rPr>
        <w:t>refus</w:t>
      </w:r>
      <w:r w:rsidR="00E73D72">
        <w:rPr>
          <w:rFonts w:ascii="Trebuchet MS" w:hAnsi="Trebuchet MS"/>
          <w:spacing w:val="20"/>
        </w:rPr>
        <w:t>ed</w:t>
      </w:r>
      <w:r w:rsidR="006032B9">
        <w:rPr>
          <w:rFonts w:ascii="Trebuchet MS" w:hAnsi="Trebuchet MS"/>
          <w:spacing w:val="20"/>
        </w:rPr>
        <w:t xml:space="preserve"> </w:t>
      </w:r>
      <w:r w:rsidR="00E73D72">
        <w:rPr>
          <w:rFonts w:ascii="Trebuchet MS" w:hAnsi="Trebuchet MS"/>
          <w:spacing w:val="20"/>
        </w:rPr>
        <w:t>an</w:t>
      </w:r>
      <w:r w:rsidR="006032B9">
        <w:rPr>
          <w:rFonts w:ascii="Trebuchet MS" w:hAnsi="Trebuchet MS"/>
          <w:spacing w:val="20"/>
        </w:rPr>
        <w:t xml:space="preserve"> attempt to elevate </w:t>
      </w:r>
      <w:r w:rsidR="00C72359">
        <w:rPr>
          <w:rFonts w:ascii="Trebuchet MS" w:hAnsi="Trebuchet MS"/>
          <w:spacing w:val="20"/>
        </w:rPr>
        <w:t>him</w:t>
      </w:r>
      <w:r w:rsidR="006032B9">
        <w:rPr>
          <w:rFonts w:ascii="Trebuchet MS" w:hAnsi="Trebuchet MS"/>
          <w:spacing w:val="20"/>
        </w:rPr>
        <w:t xml:space="preserve"> to the Supreme Court.</w:t>
      </w:r>
      <w:r w:rsidR="00B40BF6">
        <w:rPr>
          <w:rStyle w:val="FootnoteReference"/>
          <w:rFonts w:ascii="Trebuchet MS" w:hAnsi="Trebuchet MS"/>
          <w:spacing w:val="20"/>
        </w:rPr>
        <w:footnoteReference w:id="129"/>
      </w:r>
    </w:p>
    <w:p w14:paraId="77BF48BB" w14:textId="77777777" w:rsidR="00A67ECB" w:rsidRDefault="00A67ECB" w:rsidP="00E47BA8">
      <w:pPr>
        <w:pStyle w:val="ListParagraph"/>
        <w:spacing w:line="480" w:lineRule="auto"/>
        <w:ind w:left="426"/>
        <w:jc w:val="both"/>
        <w:rPr>
          <w:rFonts w:ascii="Trebuchet MS" w:hAnsi="Trebuchet MS"/>
          <w:spacing w:val="20"/>
        </w:rPr>
      </w:pPr>
    </w:p>
    <w:p w14:paraId="69E2F522" w14:textId="249ADB41" w:rsidR="00AD2436" w:rsidRPr="005A43AB" w:rsidRDefault="00A67ECB" w:rsidP="00E47BA8">
      <w:pPr>
        <w:pStyle w:val="ListParagraph"/>
        <w:spacing w:line="480" w:lineRule="auto"/>
        <w:ind w:left="426"/>
        <w:jc w:val="both"/>
        <w:rPr>
          <w:rFonts w:ascii="Trebuchet MS" w:hAnsi="Trebuchet MS"/>
          <w:spacing w:val="20"/>
        </w:rPr>
      </w:pPr>
      <w:r>
        <w:rPr>
          <w:rFonts w:ascii="Trebuchet MS" w:hAnsi="Trebuchet MS"/>
          <w:spacing w:val="20"/>
        </w:rPr>
        <w:t>With the above instances, there is n</w:t>
      </w:r>
      <w:r w:rsidRPr="005A43AB">
        <w:rPr>
          <w:rFonts w:ascii="Trebuchet MS" w:hAnsi="Trebuchet MS"/>
          <w:spacing w:val="20"/>
        </w:rPr>
        <w:t xml:space="preserve">o </w:t>
      </w:r>
      <w:r w:rsidR="00814BB4" w:rsidRPr="005A43AB">
        <w:rPr>
          <w:rFonts w:ascii="Trebuchet MS" w:hAnsi="Trebuchet MS"/>
          <w:spacing w:val="20"/>
        </w:rPr>
        <w:t>doubt</w:t>
      </w:r>
      <w:r>
        <w:rPr>
          <w:rFonts w:ascii="Trebuchet MS" w:hAnsi="Trebuchet MS"/>
          <w:spacing w:val="20"/>
        </w:rPr>
        <w:t xml:space="preserve"> that</w:t>
      </w:r>
      <w:r w:rsidR="00814BB4" w:rsidRPr="005A43AB">
        <w:rPr>
          <w:rFonts w:ascii="Trebuchet MS" w:hAnsi="Trebuchet MS"/>
          <w:spacing w:val="20"/>
        </w:rPr>
        <w:t xml:space="preserve"> c</w:t>
      </w:r>
      <w:r w:rsidR="006E1A90" w:rsidRPr="005A43AB">
        <w:rPr>
          <w:rFonts w:ascii="Trebuchet MS" w:hAnsi="Trebuchet MS"/>
          <w:spacing w:val="20"/>
        </w:rPr>
        <w:t xml:space="preserve">orruption has seriously eaten deep into the judiciary such that </w:t>
      </w:r>
      <w:r w:rsidR="006121B3" w:rsidRPr="005A43AB">
        <w:rPr>
          <w:rFonts w:ascii="Trebuchet MS" w:hAnsi="Trebuchet MS"/>
          <w:spacing w:val="20"/>
        </w:rPr>
        <w:t>cleansing of sam</w:t>
      </w:r>
      <w:r w:rsidR="00830CF2" w:rsidRPr="005A43AB">
        <w:rPr>
          <w:rFonts w:ascii="Trebuchet MS" w:hAnsi="Trebuchet MS"/>
          <w:spacing w:val="20"/>
        </w:rPr>
        <w:t>e</w:t>
      </w:r>
      <w:r w:rsidR="006121B3" w:rsidRPr="005A43AB">
        <w:rPr>
          <w:rFonts w:ascii="Trebuchet MS" w:hAnsi="Trebuchet MS"/>
          <w:spacing w:val="20"/>
        </w:rPr>
        <w:t xml:space="preserve"> in the judiciary </w:t>
      </w:r>
      <w:r w:rsidR="006E1A90" w:rsidRPr="005A43AB">
        <w:rPr>
          <w:rFonts w:ascii="Trebuchet MS" w:hAnsi="Trebuchet MS"/>
          <w:spacing w:val="20"/>
        </w:rPr>
        <w:t xml:space="preserve">will be </w:t>
      </w:r>
      <w:r w:rsidR="006121B3" w:rsidRPr="005A43AB">
        <w:rPr>
          <w:rFonts w:ascii="Trebuchet MS" w:hAnsi="Trebuchet MS"/>
          <w:spacing w:val="20"/>
        </w:rPr>
        <w:t>a herculean task.</w:t>
      </w:r>
      <w:r w:rsidR="00D70B67" w:rsidRPr="005A43AB">
        <w:rPr>
          <w:rFonts w:ascii="Trebuchet MS" w:hAnsi="Trebuchet MS"/>
          <w:spacing w:val="20"/>
        </w:rPr>
        <w:t xml:space="preserve"> It is only when we are prepared to face the reality and ready </w:t>
      </w:r>
      <w:r w:rsidR="000030FE" w:rsidRPr="005A43AB">
        <w:rPr>
          <w:rFonts w:ascii="Trebuchet MS" w:hAnsi="Trebuchet MS"/>
          <w:spacing w:val="20"/>
        </w:rPr>
        <w:t>to be fair and</w:t>
      </w:r>
      <w:r w:rsidR="00D70B67" w:rsidRPr="005A43AB">
        <w:rPr>
          <w:rFonts w:ascii="Trebuchet MS" w:hAnsi="Trebuchet MS"/>
          <w:spacing w:val="20"/>
        </w:rPr>
        <w:t xml:space="preserve"> just </w:t>
      </w:r>
      <w:r w:rsidR="000030FE" w:rsidRPr="005A43AB">
        <w:rPr>
          <w:rFonts w:ascii="Trebuchet MS" w:hAnsi="Trebuchet MS"/>
          <w:spacing w:val="20"/>
        </w:rPr>
        <w:t xml:space="preserve">in our </w:t>
      </w:r>
      <w:r w:rsidR="00C06FD8" w:rsidRPr="005A43AB">
        <w:rPr>
          <w:rFonts w:ascii="Trebuchet MS" w:hAnsi="Trebuchet MS"/>
          <w:spacing w:val="20"/>
        </w:rPr>
        <w:t xml:space="preserve">entire </w:t>
      </w:r>
      <w:r w:rsidR="000030FE" w:rsidRPr="005A43AB">
        <w:rPr>
          <w:rFonts w:ascii="Trebuchet MS" w:hAnsi="Trebuchet MS"/>
          <w:spacing w:val="20"/>
        </w:rPr>
        <w:t>dealings that</w:t>
      </w:r>
      <w:r w:rsidR="00905EB0" w:rsidRPr="005A43AB">
        <w:rPr>
          <w:rFonts w:ascii="Trebuchet MS" w:hAnsi="Trebuchet MS"/>
          <w:spacing w:val="20"/>
        </w:rPr>
        <w:t xml:space="preserve"> </w:t>
      </w:r>
      <w:r w:rsidR="00814BB4" w:rsidRPr="005A43AB">
        <w:rPr>
          <w:rFonts w:ascii="Trebuchet MS" w:hAnsi="Trebuchet MS"/>
          <w:spacing w:val="20"/>
        </w:rPr>
        <w:t>corruption can be reduced</w:t>
      </w:r>
      <w:r w:rsidR="00C06FD8" w:rsidRPr="005A43AB">
        <w:rPr>
          <w:rFonts w:ascii="Trebuchet MS" w:hAnsi="Trebuchet MS"/>
          <w:spacing w:val="20"/>
        </w:rPr>
        <w:t xml:space="preserve"> or eradicated</w:t>
      </w:r>
      <w:r w:rsidR="00814BB4" w:rsidRPr="005A43AB">
        <w:rPr>
          <w:rFonts w:ascii="Trebuchet MS" w:hAnsi="Trebuchet MS"/>
          <w:spacing w:val="20"/>
        </w:rPr>
        <w:t>.</w:t>
      </w:r>
      <w:r w:rsidR="006F62E9">
        <w:rPr>
          <w:rFonts w:ascii="Trebuchet MS" w:hAnsi="Trebuchet MS"/>
          <w:spacing w:val="20"/>
        </w:rPr>
        <w:t xml:space="preserve"> </w:t>
      </w:r>
    </w:p>
    <w:p w14:paraId="19085FEC" w14:textId="77777777" w:rsidR="00AD2436" w:rsidRDefault="00AD2436" w:rsidP="00E47BA8">
      <w:pPr>
        <w:spacing w:line="480" w:lineRule="auto"/>
        <w:contextualSpacing/>
        <w:jc w:val="both"/>
        <w:rPr>
          <w:rFonts w:ascii="Trebuchet MS" w:hAnsi="Trebuchet MS"/>
          <w:spacing w:val="20"/>
        </w:rPr>
      </w:pPr>
    </w:p>
    <w:p w14:paraId="715FF648" w14:textId="0A455FD7" w:rsidR="00386BAD" w:rsidRPr="00E47BA8" w:rsidRDefault="00585586" w:rsidP="00C22964">
      <w:pPr>
        <w:spacing w:line="480" w:lineRule="auto"/>
        <w:contextualSpacing/>
        <w:jc w:val="center"/>
        <w:rPr>
          <w:rFonts w:ascii="Trebuchet MS" w:hAnsi="Trebuchet MS"/>
          <w:smallCaps/>
          <w:spacing w:val="20"/>
        </w:rPr>
      </w:pPr>
      <w:r w:rsidRPr="00E47BA8">
        <w:rPr>
          <w:rFonts w:ascii="Trebuchet MS" w:hAnsi="Trebuchet MS"/>
          <w:smallCaps/>
          <w:spacing w:val="20"/>
        </w:rPr>
        <w:t>Part V</w:t>
      </w:r>
    </w:p>
    <w:p w14:paraId="73DD424C" w14:textId="569049C0" w:rsidR="00585586" w:rsidRPr="00E47BA8" w:rsidRDefault="00AD5FAD" w:rsidP="00C22964">
      <w:pPr>
        <w:spacing w:line="480" w:lineRule="auto"/>
        <w:contextualSpacing/>
        <w:jc w:val="center"/>
        <w:rPr>
          <w:rFonts w:ascii="Trebuchet MS" w:hAnsi="Trebuchet MS"/>
          <w:smallCaps/>
          <w:spacing w:val="20"/>
        </w:rPr>
      </w:pPr>
      <w:r w:rsidRPr="00E47BA8">
        <w:rPr>
          <w:rFonts w:ascii="Trebuchet MS" w:hAnsi="Trebuchet MS"/>
          <w:smallCaps/>
          <w:spacing w:val="20"/>
        </w:rPr>
        <w:t xml:space="preserve">Recommendation and </w:t>
      </w:r>
      <w:r w:rsidR="00585586" w:rsidRPr="00E47BA8">
        <w:rPr>
          <w:rFonts w:ascii="Trebuchet MS" w:hAnsi="Trebuchet MS"/>
          <w:smallCaps/>
          <w:spacing w:val="20"/>
        </w:rPr>
        <w:t>Conclusion</w:t>
      </w:r>
    </w:p>
    <w:p w14:paraId="3D3F6C31" w14:textId="77777777" w:rsidR="008C2D37" w:rsidRDefault="008C2D37" w:rsidP="00E47BA8">
      <w:pPr>
        <w:spacing w:line="480" w:lineRule="auto"/>
        <w:contextualSpacing/>
        <w:jc w:val="both"/>
        <w:rPr>
          <w:rFonts w:ascii="Trebuchet MS" w:hAnsi="Trebuchet MS"/>
          <w:spacing w:val="20"/>
        </w:rPr>
      </w:pPr>
    </w:p>
    <w:p w14:paraId="786A2BEE" w14:textId="76CAF68E" w:rsidR="00AD5FAD" w:rsidRPr="005A43AB" w:rsidRDefault="00634A66" w:rsidP="00E47BA8">
      <w:pPr>
        <w:spacing w:line="480" w:lineRule="auto"/>
        <w:contextualSpacing/>
        <w:jc w:val="both"/>
        <w:rPr>
          <w:rFonts w:ascii="Trebuchet MS" w:hAnsi="Trebuchet MS"/>
          <w:b/>
          <w:spacing w:val="20"/>
        </w:rPr>
      </w:pPr>
      <w:r w:rsidRPr="005A43AB">
        <w:rPr>
          <w:rFonts w:ascii="Trebuchet MS" w:hAnsi="Trebuchet MS"/>
          <w:b/>
          <w:spacing w:val="20"/>
        </w:rPr>
        <w:t>Recommendation</w:t>
      </w:r>
    </w:p>
    <w:p w14:paraId="7953931C" w14:textId="48217486" w:rsidR="008C2D37" w:rsidRDefault="008C2D37" w:rsidP="00E47BA8">
      <w:pPr>
        <w:spacing w:line="480" w:lineRule="auto"/>
        <w:contextualSpacing/>
        <w:jc w:val="both"/>
        <w:rPr>
          <w:rFonts w:ascii="Trebuchet MS" w:hAnsi="Trebuchet MS"/>
          <w:spacing w:val="20"/>
        </w:rPr>
      </w:pPr>
      <w:r>
        <w:rPr>
          <w:rFonts w:ascii="Trebuchet MS" w:hAnsi="Trebuchet MS"/>
          <w:spacing w:val="20"/>
        </w:rPr>
        <w:t xml:space="preserve">It is clear from the above discussion that resolution of election disputes in Nigeria is basically by way of commencement of action in court or tribunal and since substantial justice has not been really achieved in the various decisions of our courts on election petition cases, be it pre-election and post election, the following recommendation are hereby proffered with a view to ensuring substantial justice to all election petition cases. </w:t>
      </w:r>
    </w:p>
    <w:p w14:paraId="17E814DE" w14:textId="77777777" w:rsidR="003A19EA" w:rsidRDefault="003A19EA" w:rsidP="00E47BA8">
      <w:pPr>
        <w:spacing w:line="480" w:lineRule="auto"/>
        <w:contextualSpacing/>
        <w:jc w:val="both"/>
        <w:rPr>
          <w:rFonts w:ascii="Trebuchet MS" w:hAnsi="Trebuchet MS"/>
          <w:spacing w:val="20"/>
        </w:rPr>
      </w:pPr>
    </w:p>
    <w:p w14:paraId="788193B0" w14:textId="77777777" w:rsidR="003A19EA" w:rsidRDefault="003A19EA" w:rsidP="00E47BA8">
      <w:pPr>
        <w:spacing w:line="480" w:lineRule="auto"/>
        <w:contextualSpacing/>
        <w:jc w:val="both"/>
        <w:rPr>
          <w:rFonts w:ascii="Trebuchet MS" w:hAnsi="Trebuchet MS"/>
          <w:spacing w:val="20"/>
        </w:rPr>
      </w:pPr>
      <w:r>
        <w:rPr>
          <w:rFonts w:ascii="Trebuchet MS" w:hAnsi="Trebuchet MS"/>
          <w:spacing w:val="20"/>
        </w:rPr>
        <w:t xml:space="preserve">Firstly, we may also need to seek for other alternative election dispute resolution with a view to resolving more election disputes in Nigeria. It is in this respect that the alternative election dispute resolution otherwise known as the informal system may play a supportive role, </w:t>
      </w:r>
      <w:r w:rsidRPr="00EE49EC">
        <w:rPr>
          <w:rFonts w:ascii="Trebuchet MS" w:hAnsi="Trebuchet MS"/>
          <w:spacing w:val="20"/>
        </w:rPr>
        <w:t>especially in situations in which the formal systems</w:t>
      </w:r>
      <w:r>
        <w:rPr>
          <w:rFonts w:ascii="Trebuchet MS" w:hAnsi="Trebuchet MS"/>
          <w:spacing w:val="20"/>
        </w:rPr>
        <w:t xml:space="preserve"> (Election Dispute Resolution)</w:t>
      </w:r>
      <w:r w:rsidRPr="00EE49EC">
        <w:rPr>
          <w:rFonts w:ascii="Trebuchet MS" w:hAnsi="Trebuchet MS"/>
          <w:spacing w:val="20"/>
        </w:rPr>
        <w:t xml:space="preserve"> face credibility, financial or time constraints linked to political or institutional crises or to their inadequate design.</w:t>
      </w:r>
      <w:r>
        <w:rPr>
          <w:rStyle w:val="FootnoteReference"/>
          <w:rFonts w:ascii="Trebuchet MS" w:hAnsi="Trebuchet MS"/>
          <w:spacing w:val="20"/>
        </w:rPr>
        <w:footnoteReference w:id="130"/>
      </w:r>
    </w:p>
    <w:p w14:paraId="2053B61A" w14:textId="77777777" w:rsidR="00C22964" w:rsidRDefault="00C22964" w:rsidP="00E47BA8">
      <w:pPr>
        <w:spacing w:line="480" w:lineRule="auto"/>
        <w:contextualSpacing/>
        <w:jc w:val="both"/>
        <w:rPr>
          <w:rFonts w:ascii="Trebuchet MS" w:hAnsi="Trebuchet MS"/>
          <w:spacing w:val="20"/>
        </w:rPr>
      </w:pPr>
    </w:p>
    <w:p w14:paraId="573CCD07" w14:textId="0968B565" w:rsidR="003A19EA" w:rsidRDefault="003A19EA" w:rsidP="00E47BA8">
      <w:pPr>
        <w:spacing w:line="480" w:lineRule="auto"/>
        <w:contextualSpacing/>
        <w:jc w:val="both"/>
        <w:rPr>
          <w:rFonts w:ascii="Trebuchet MS" w:hAnsi="Trebuchet MS"/>
          <w:spacing w:val="20"/>
        </w:rPr>
      </w:pPr>
      <w:r>
        <w:rPr>
          <w:rFonts w:ascii="Trebuchet MS" w:hAnsi="Trebuchet MS"/>
          <w:spacing w:val="20"/>
        </w:rPr>
        <w:t xml:space="preserve">It is significant to also note that </w:t>
      </w:r>
      <w:r w:rsidRPr="00D0631D">
        <w:rPr>
          <w:rFonts w:ascii="Trebuchet MS" w:hAnsi="Trebuchet MS"/>
          <w:spacing w:val="20"/>
        </w:rPr>
        <w:t>A</w:t>
      </w:r>
      <w:r>
        <w:rPr>
          <w:rFonts w:ascii="Trebuchet MS" w:hAnsi="Trebuchet MS"/>
          <w:spacing w:val="20"/>
        </w:rPr>
        <w:t xml:space="preserve">lternative </w:t>
      </w:r>
      <w:r w:rsidRPr="00D0631D">
        <w:rPr>
          <w:rFonts w:ascii="Trebuchet MS" w:hAnsi="Trebuchet MS"/>
          <w:spacing w:val="20"/>
        </w:rPr>
        <w:t>E</w:t>
      </w:r>
      <w:r>
        <w:rPr>
          <w:rFonts w:ascii="Trebuchet MS" w:hAnsi="Trebuchet MS"/>
          <w:spacing w:val="20"/>
        </w:rPr>
        <w:t xml:space="preserve">lection </w:t>
      </w:r>
      <w:r w:rsidRPr="00D0631D">
        <w:rPr>
          <w:rFonts w:ascii="Trebuchet MS" w:hAnsi="Trebuchet MS"/>
          <w:spacing w:val="20"/>
        </w:rPr>
        <w:t>D</w:t>
      </w:r>
      <w:r>
        <w:rPr>
          <w:rFonts w:ascii="Trebuchet MS" w:hAnsi="Trebuchet MS"/>
          <w:spacing w:val="20"/>
        </w:rPr>
        <w:t xml:space="preserve">ispute </w:t>
      </w:r>
      <w:r w:rsidRPr="00D0631D">
        <w:rPr>
          <w:rFonts w:ascii="Trebuchet MS" w:hAnsi="Trebuchet MS"/>
          <w:spacing w:val="20"/>
        </w:rPr>
        <w:t>R</w:t>
      </w:r>
      <w:r>
        <w:rPr>
          <w:rFonts w:ascii="Trebuchet MS" w:hAnsi="Trebuchet MS"/>
          <w:spacing w:val="20"/>
        </w:rPr>
        <w:t>esolution</w:t>
      </w:r>
      <w:r w:rsidRPr="00D0631D">
        <w:rPr>
          <w:rFonts w:ascii="Trebuchet MS" w:hAnsi="Trebuchet MS"/>
          <w:spacing w:val="20"/>
        </w:rPr>
        <w:t xml:space="preserve"> mechanisms</w:t>
      </w:r>
      <w:r>
        <w:rPr>
          <w:rFonts w:ascii="Trebuchet MS" w:hAnsi="Trebuchet MS"/>
          <w:spacing w:val="20"/>
        </w:rPr>
        <w:t xml:space="preserve"> have been said to </w:t>
      </w:r>
      <w:r w:rsidRPr="00D0631D">
        <w:rPr>
          <w:rFonts w:ascii="Trebuchet MS" w:hAnsi="Trebuchet MS"/>
          <w:spacing w:val="20"/>
        </w:rPr>
        <w:t xml:space="preserve">also have some weaknesses. </w:t>
      </w:r>
      <w:r>
        <w:rPr>
          <w:rFonts w:ascii="Trebuchet MS" w:hAnsi="Trebuchet MS"/>
          <w:spacing w:val="20"/>
        </w:rPr>
        <w:t>It has been said to be</w:t>
      </w:r>
      <w:r w:rsidRPr="00D0631D">
        <w:rPr>
          <w:rFonts w:ascii="Trebuchet MS" w:hAnsi="Trebuchet MS"/>
          <w:spacing w:val="20"/>
        </w:rPr>
        <w:t xml:space="preserve"> ineffectual in the presence of an extreme power imbalance between disputants, that is, at balancing the interests of a weak disputant with those of a stronger disputant, and may not work when one party is uncooperative – especially in a multiparty dispute.</w:t>
      </w:r>
      <w:r>
        <w:rPr>
          <w:rStyle w:val="FootnoteReference"/>
          <w:rFonts w:ascii="Trebuchet MS" w:hAnsi="Trebuchet MS"/>
          <w:spacing w:val="20"/>
        </w:rPr>
        <w:footnoteReference w:id="131"/>
      </w:r>
      <w:r>
        <w:rPr>
          <w:rFonts w:ascii="Trebuchet MS" w:hAnsi="Trebuchet MS"/>
          <w:spacing w:val="20"/>
        </w:rPr>
        <w:t xml:space="preserve"> It may also not work where the electorates</w:t>
      </w:r>
      <w:r w:rsidR="003A16A7">
        <w:rPr>
          <w:rFonts w:ascii="Trebuchet MS" w:hAnsi="Trebuchet MS"/>
          <w:spacing w:val="20"/>
        </w:rPr>
        <w:t>,</w:t>
      </w:r>
      <w:r w:rsidR="00431FEF">
        <w:rPr>
          <w:rFonts w:ascii="Trebuchet MS" w:hAnsi="Trebuchet MS"/>
          <w:spacing w:val="20"/>
        </w:rPr>
        <w:t xml:space="preserve"> who are the mandate giver</w:t>
      </w:r>
      <w:r w:rsidR="003A16A7">
        <w:rPr>
          <w:rFonts w:ascii="Trebuchet MS" w:hAnsi="Trebuchet MS"/>
          <w:spacing w:val="20"/>
        </w:rPr>
        <w:t>,</w:t>
      </w:r>
      <w:r>
        <w:rPr>
          <w:rFonts w:ascii="Trebuchet MS" w:hAnsi="Trebuchet MS"/>
          <w:spacing w:val="20"/>
        </w:rPr>
        <w:t xml:space="preserve"> do not want their wish to be compromised knowing fully well that there is no way a </w:t>
      </w:r>
      <w:r w:rsidR="00013DB5">
        <w:rPr>
          <w:rFonts w:ascii="Trebuchet MS" w:hAnsi="Trebuchet MS"/>
          <w:spacing w:val="20"/>
        </w:rPr>
        <w:t xml:space="preserve">candidate that has been declared to have won an </w:t>
      </w:r>
      <w:r>
        <w:rPr>
          <w:rFonts w:ascii="Trebuchet MS" w:hAnsi="Trebuchet MS"/>
          <w:spacing w:val="20"/>
        </w:rPr>
        <w:t>election will agree to vacate his seat</w:t>
      </w:r>
      <w:r w:rsidR="00C422D9">
        <w:rPr>
          <w:rFonts w:ascii="Trebuchet MS" w:hAnsi="Trebuchet MS"/>
          <w:spacing w:val="20"/>
        </w:rPr>
        <w:t xml:space="preserve"> for the loosing candidate</w:t>
      </w:r>
      <w:r w:rsidR="00013DB5">
        <w:rPr>
          <w:rFonts w:ascii="Trebuchet MS" w:hAnsi="Trebuchet MS"/>
          <w:spacing w:val="20"/>
        </w:rPr>
        <w:t xml:space="preserve">. The only possible resolution </w:t>
      </w:r>
      <w:r w:rsidR="00C422D9">
        <w:rPr>
          <w:rFonts w:ascii="Trebuchet MS" w:hAnsi="Trebuchet MS"/>
          <w:spacing w:val="20"/>
        </w:rPr>
        <w:t>that could be reached is for the loosing candidate to withdraw his petition</w:t>
      </w:r>
      <w:r w:rsidR="00431FEF">
        <w:rPr>
          <w:rFonts w:ascii="Trebuchet MS" w:hAnsi="Trebuchet MS"/>
          <w:spacing w:val="20"/>
        </w:rPr>
        <w:t xml:space="preserve"> and this</w:t>
      </w:r>
      <w:r w:rsidR="000E652D">
        <w:rPr>
          <w:rFonts w:ascii="Trebuchet MS" w:hAnsi="Trebuchet MS"/>
          <w:spacing w:val="20"/>
        </w:rPr>
        <w:t xml:space="preserve"> the electorates may not want the candidate to do</w:t>
      </w:r>
      <w:r w:rsidR="00863753">
        <w:rPr>
          <w:rFonts w:ascii="Trebuchet MS" w:hAnsi="Trebuchet MS"/>
          <w:spacing w:val="20"/>
        </w:rPr>
        <w:t xml:space="preserve"> other than resolving same at the Tribunal</w:t>
      </w:r>
      <w:r w:rsidR="00CE112A">
        <w:rPr>
          <w:rFonts w:ascii="Trebuchet MS" w:hAnsi="Trebuchet MS"/>
          <w:spacing w:val="20"/>
        </w:rPr>
        <w:t>.</w:t>
      </w:r>
    </w:p>
    <w:p w14:paraId="3D75474B" w14:textId="77777777" w:rsidR="003A19EA" w:rsidRDefault="003A19EA" w:rsidP="00E47BA8">
      <w:pPr>
        <w:spacing w:line="480" w:lineRule="auto"/>
        <w:contextualSpacing/>
        <w:jc w:val="both"/>
        <w:rPr>
          <w:rFonts w:ascii="Trebuchet MS" w:hAnsi="Trebuchet MS"/>
          <w:spacing w:val="20"/>
        </w:rPr>
      </w:pPr>
    </w:p>
    <w:p w14:paraId="4D0F8344" w14:textId="01614D8C" w:rsidR="008C2D37" w:rsidRDefault="008C2D37" w:rsidP="00E47BA8">
      <w:pPr>
        <w:spacing w:line="480" w:lineRule="auto"/>
        <w:contextualSpacing/>
        <w:jc w:val="both"/>
        <w:rPr>
          <w:rFonts w:ascii="Trebuchet MS" w:hAnsi="Trebuchet MS"/>
          <w:spacing w:val="20"/>
        </w:rPr>
      </w:pPr>
      <w:r>
        <w:rPr>
          <w:rFonts w:ascii="Trebuchet MS" w:hAnsi="Trebuchet MS"/>
          <w:spacing w:val="20"/>
        </w:rPr>
        <w:t>F</w:t>
      </w:r>
      <w:r w:rsidR="00BA3EC8">
        <w:rPr>
          <w:rFonts w:ascii="Trebuchet MS" w:hAnsi="Trebuchet MS"/>
          <w:spacing w:val="20"/>
        </w:rPr>
        <w:t>urther</w:t>
      </w:r>
      <w:r>
        <w:rPr>
          <w:rFonts w:ascii="Trebuchet MS" w:hAnsi="Trebuchet MS"/>
          <w:spacing w:val="20"/>
        </w:rPr>
        <w:t>, i</w:t>
      </w:r>
      <w:r w:rsidRPr="0050532C">
        <w:rPr>
          <w:rFonts w:ascii="Trebuchet MS" w:hAnsi="Trebuchet MS"/>
          <w:spacing w:val="20"/>
        </w:rPr>
        <w:t>t is strongly submitted that since our courts are not in any way ready to interprete the provision</w:t>
      </w:r>
      <w:r>
        <w:rPr>
          <w:rFonts w:ascii="Trebuchet MS" w:hAnsi="Trebuchet MS"/>
          <w:spacing w:val="20"/>
        </w:rPr>
        <w:t xml:space="preserve"> of section 285(</w:t>
      </w:r>
      <w:r w:rsidR="000349D1">
        <w:rPr>
          <w:rFonts w:ascii="Trebuchet MS" w:hAnsi="Trebuchet MS"/>
          <w:spacing w:val="20"/>
        </w:rPr>
        <w:t>6) and (7) of the 1999 Constitution</w:t>
      </w:r>
      <w:r w:rsidRPr="0050532C">
        <w:rPr>
          <w:rFonts w:ascii="Trebuchet MS" w:hAnsi="Trebuchet MS"/>
          <w:spacing w:val="20"/>
        </w:rPr>
        <w:t xml:space="preserve"> in such a way that it would accommodate re-trial cases, </w:t>
      </w:r>
      <w:r w:rsidR="000349D1">
        <w:rPr>
          <w:rFonts w:ascii="Trebuchet MS" w:hAnsi="Trebuchet MS"/>
          <w:spacing w:val="20"/>
        </w:rPr>
        <w:t xml:space="preserve">then the provision </w:t>
      </w:r>
      <w:r w:rsidRPr="0050532C">
        <w:rPr>
          <w:rFonts w:ascii="Trebuchet MS" w:hAnsi="Trebuchet MS"/>
          <w:spacing w:val="20"/>
        </w:rPr>
        <w:t>should be removed from the provision of the 1999 Constitution</w:t>
      </w:r>
      <w:r w:rsidR="000349D1">
        <w:rPr>
          <w:rFonts w:ascii="Trebuchet MS" w:hAnsi="Trebuchet MS"/>
          <w:spacing w:val="20"/>
        </w:rPr>
        <w:t xml:space="preserve"> as it is </w:t>
      </w:r>
      <w:r w:rsidR="004B3184">
        <w:rPr>
          <w:rFonts w:ascii="Trebuchet MS" w:hAnsi="Trebuchet MS"/>
          <w:spacing w:val="20"/>
        </w:rPr>
        <w:t xml:space="preserve">obvious that the provision is </w:t>
      </w:r>
      <w:r w:rsidR="000349D1">
        <w:rPr>
          <w:rFonts w:ascii="Trebuchet MS" w:hAnsi="Trebuchet MS"/>
          <w:spacing w:val="20"/>
        </w:rPr>
        <w:t xml:space="preserve">a clog </w:t>
      </w:r>
      <w:r w:rsidR="004B3184">
        <w:rPr>
          <w:rFonts w:ascii="Trebuchet MS" w:hAnsi="Trebuchet MS"/>
          <w:spacing w:val="20"/>
        </w:rPr>
        <w:t xml:space="preserve">to doing substantial </w:t>
      </w:r>
      <w:r w:rsidR="000349D1">
        <w:rPr>
          <w:rFonts w:ascii="Trebuchet MS" w:hAnsi="Trebuchet MS"/>
          <w:spacing w:val="20"/>
        </w:rPr>
        <w:t>justice</w:t>
      </w:r>
      <w:r w:rsidRPr="0050532C">
        <w:rPr>
          <w:rFonts w:ascii="Trebuchet MS" w:hAnsi="Trebuchet MS"/>
          <w:spacing w:val="20"/>
        </w:rPr>
        <w:t>. It is believed that the agitation for the removal of this provision may be difficult in view of the fact that the legislatures that inserted this provision do not want their elections to be upturned any longer. The consequence of this is that contestants would want to slug it out on the field knowing fully well that an election petition is not an option for them.</w:t>
      </w:r>
    </w:p>
    <w:p w14:paraId="65571FCE" w14:textId="77777777" w:rsidR="000E3EE7" w:rsidRDefault="000E3EE7" w:rsidP="00E47BA8">
      <w:pPr>
        <w:spacing w:line="480" w:lineRule="auto"/>
        <w:contextualSpacing/>
        <w:jc w:val="both"/>
        <w:rPr>
          <w:rFonts w:ascii="Trebuchet MS" w:hAnsi="Trebuchet MS"/>
          <w:spacing w:val="20"/>
        </w:rPr>
      </w:pPr>
    </w:p>
    <w:p w14:paraId="6554183E" w14:textId="5A634A4B" w:rsidR="000B4103" w:rsidRDefault="000E0127" w:rsidP="00E47BA8">
      <w:pPr>
        <w:spacing w:line="480" w:lineRule="auto"/>
        <w:contextualSpacing/>
        <w:jc w:val="both"/>
        <w:rPr>
          <w:rFonts w:ascii="Trebuchet MS" w:hAnsi="Trebuchet MS"/>
          <w:spacing w:val="20"/>
        </w:rPr>
      </w:pPr>
      <w:r>
        <w:rPr>
          <w:rFonts w:ascii="Trebuchet MS" w:hAnsi="Trebuchet MS"/>
          <w:spacing w:val="20"/>
        </w:rPr>
        <w:t>Again</w:t>
      </w:r>
      <w:r w:rsidR="000E3EE7">
        <w:rPr>
          <w:rFonts w:ascii="Trebuchet MS" w:hAnsi="Trebuchet MS"/>
          <w:spacing w:val="20"/>
        </w:rPr>
        <w:t xml:space="preserve">, </w:t>
      </w:r>
      <w:r w:rsidR="009F33A5">
        <w:rPr>
          <w:rFonts w:ascii="Trebuchet MS" w:hAnsi="Trebuchet MS"/>
          <w:spacing w:val="20"/>
        </w:rPr>
        <w:t>it is recommended that jury system be adopted in election petition cases as it is believed that the adoption of jury system in determination of fact of each cases before it will not only go a long way in dispensing justice but will further assist in quick dispensation of justice where competent and uncompromising jurors are picked from</w:t>
      </w:r>
      <w:r w:rsidR="005F4A10">
        <w:rPr>
          <w:rFonts w:ascii="Trebuchet MS" w:hAnsi="Trebuchet MS"/>
          <w:spacing w:val="20"/>
        </w:rPr>
        <w:t xml:space="preserve"> the society. </w:t>
      </w:r>
      <w:r w:rsidR="00F23621">
        <w:rPr>
          <w:rFonts w:ascii="Trebuchet MS" w:hAnsi="Trebuchet MS"/>
          <w:spacing w:val="20"/>
        </w:rPr>
        <w:t>With competent and uncompromising jurors, the issue of substantial injustice would certainly be a thing of the past as the Judge would be left to apply the law to the finding of fact already reached by the jurors.</w:t>
      </w:r>
    </w:p>
    <w:p w14:paraId="5E0D70C7" w14:textId="77777777" w:rsidR="00C67305" w:rsidRDefault="00C67305" w:rsidP="00E47BA8">
      <w:pPr>
        <w:spacing w:line="480" w:lineRule="auto"/>
        <w:contextualSpacing/>
        <w:jc w:val="both"/>
        <w:rPr>
          <w:rFonts w:ascii="Trebuchet MS" w:hAnsi="Trebuchet MS"/>
          <w:spacing w:val="20"/>
        </w:rPr>
      </w:pPr>
    </w:p>
    <w:p w14:paraId="07B8377E" w14:textId="3611277C" w:rsidR="008C2D37" w:rsidRPr="00A61121" w:rsidRDefault="00145D51" w:rsidP="00A61121">
      <w:pPr>
        <w:spacing w:line="480" w:lineRule="auto"/>
        <w:contextualSpacing/>
        <w:jc w:val="center"/>
        <w:rPr>
          <w:rFonts w:ascii="Trebuchet MS" w:hAnsi="Trebuchet MS"/>
          <w:b/>
          <w:bCs/>
          <w:smallCaps/>
          <w:spacing w:val="20"/>
        </w:rPr>
      </w:pPr>
      <w:r w:rsidRPr="00A61121">
        <w:rPr>
          <w:rFonts w:ascii="Trebuchet MS" w:hAnsi="Trebuchet MS"/>
          <w:b/>
          <w:bCs/>
          <w:smallCaps/>
          <w:spacing w:val="20"/>
        </w:rPr>
        <w:t>Conclusion</w:t>
      </w:r>
    </w:p>
    <w:p w14:paraId="1CC9F449" w14:textId="06114019" w:rsidR="00806D84" w:rsidRDefault="00145D51" w:rsidP="00A61121">
      <w:pPr>
        <w:spacing w:line="480" w:lineRule="auto"/>
        <w:contextualSpacing/>
        <w:jc w:val="both"/>
        <w:rPr>
          <w:rFonts w:ascii="Trebuchet MS" w:hAnsi="Trebuchet MS"/>
          <w:spacing w:val="20"/>
        </w:rPr>
      </w:pPr>
      <w:r>
        <w:rPr>
          <w:rFonts w:ascii="Trebuchet MS" w:hAnsi="Trebuchet MS"/>
          <w:spacing w:val="20"/>
        </w:rPr>
        <w:t xml:space="preserve">It is clear from the above discussion that resolution of election disputes in Nigeria is basically by way of commencement of action in </w:t>
      </w:r>
      <w:r w:rsidR="00806D84">
        <w:rPr>
          <w:rFonts w:ascii="Trebuchet MS" w:hAnsi="Trebuchet MS"/>
          <w:spacing w:val="20"/>
        </w:rPr>
        <w:t>before the</w:t>
      </w:r>
      <w:r>
        <w:rPr>
          <w:rFonts w:ascii="Trebuchet MS" w:hAnsi="Trebuchet MS"/>
          <w:spacing w:val="20"/>
        </w:rPr>
        <w:t xml:space="preserve"> tribunal.</w:t>
      </w:r>
      <w:r w:rsidDel="008C2D37">
        <w:rPr>
          <w:rFonts w:ascii="Trebuchet MS" w:hAnsi="Trebuchet MS"/>
          <w:spacing w:val="20"/>
        </w:rPr>
        <w:t xml:space="preserve"> </w:t>
      </w:r>
      <w:r w:rsidR="00062334">
        <w:rPr>
          <w:rFonts w:ascii="Trebuchet MS" w:hAnsi="Trebuchet MS"/>
          <w:spacing w:val="20"/>
        </w:rPr>
        <w:t>Even at that, the court</w:t>
      </w:r>
      <w:r w:rsidR="00CE7E82">
        <w:rPr>
          <w:rFonts w:ascii="Trebuchet MS" w:hAnsi="Trebuchet MS"/>
          <w:spacing w:val="20"/>
        </w:rPr>
        <w:t>s have</w:t>
      </w:r>
      <w:r w:rsidR="00062334">
        <w:rPr>
          <w:rFonts w:ascii="Trebuchet MS" w:hAnsi="Trebuchet MS"/>
          <w:spacing w:val="20"/>
        </w:rPr>
        <w:t xml:space="preserve"> persistently refrained from delving into </w:t>
      </w:r>
      <w:r w:rsidR="005F569C">
        <w:rPr>
          <w:rFonts w:ascii="Trebuchet MS" w:hAnsi="Trebuchet MS"/>
          <w:spacing w:val="20"/>
        </w:rPr>
        <w:t>intra-</w:t>
      </w:r>
      <w:r w:rsidR="00062334">
        <w:rPr>
          <w:rFonts w:ascii="Trebuchet MS" w:hAnsi="Trebuchet MS"/>
          <w:spacing w:val="20"/>
        </w:rPr>
        <w:t>party dispute</w:t>
      </w:r>
      <w:r w:rsidR="005F569C">
        <w:rPr>
          <w:rFonts w:ascii="Trebuchet MS" w:hAnsi="Trebuchet MS"/>
          <w:spacing w:val="20"/>
        </w:rPr>
        <w:t>s</w:t>
      </w:r>
      <w:r w:rsidR="00062334">
        <w:rPr>
          <w:rFonts w:ascii="Trebuchet MS" w:hAnsi="Trebuchet MS"/>
          <w:spacing w:val="20"/>
        </w:rPr>
        <w:t xml:space="preserve"> on the ground that the exercise of right to nominate a candi</w:t>
      </w:r>
      <w:r w:rsidR="00101033">
        <w:rPr>
          <w:rFonts w:ascii="Trebuchet MS" w:hAnsi="Trebuchet MS"/>
          <w:spacing w:val="20"/>
        </w:rPr>
        <w:t>date for any political office is within the domestic affairs of the political parties and hence non-justic</w:t>
      </w:r>
      <w:r w:rsidR="00971CDE">
        <w:rPr>
          <w:rFonts w:ascii="Trebuchet MS" w:hAnsi="Trebuchet MS"/>
          <w:spacing w:val="20"/>
        </w:rPr>
        <w:t>ia</w:t>
      </w:r>
      <w:r w:rsidR="00101033">
        <w:rPr>
          <w:rFonts w:ascii="Trebuchet MS" w:hAnsi="Trebuchet MS"/>
          <w:spacing w:val="20"/>
        </w:rPr>
        <w:t>ble.</w:t>
      </w:r>
      <w:r w:rsidR="00B81432">
        <w:rPr>
          <w:rFonts w:ascii="Trebuchet MS" w:hAnsi="Trebuchet MS"/>
          <w:spacing w:val="20"/>
        </w:rPr>
        <w:t xml:space="preserve"> Courts are only inclined in resolving int</w:t>
      </w:r>
      <w:r w:rsidR="00A81C35">
        <w:rPr>
          <w:rFonts w:ascii="Trebuchet MS" w:hAnsi="Trebuchet MS"/>
          <w:spacing w:val="20"/>
        </w:rPr>
        <w:t>ra-party disputes which involve</w:t>
      </w:r>
      <w:r w:rsidR="00B81432">
        <w:rPr>
          <w:rFonts w:ascii="Trebuchet MS" w:hAnsi="Trebuchet MS"/>
          <w:spacing w:val="20"/>
        </w:rPr>
        <w:t xml:space="preserve"> breach of the provisions of the law</w:t>
      </w:r>
      <w:r w:rsidR="00CE7E82">
        <w:rPr>
          <w:rFonts w:ascii="Trebuchet MS" w:hAnsi="Trebuchet MS"/>
          <w:spacing w:val="20"/>
        </w:rPr>
        <w:t xml:space="preserve"> like the Electoral Act</w:t>
      </w:r>
      <w:r w:rsidR="00B81432">
        <w:rPr>
          <w:rFonts w:ascii="Trebuchet MS" w:hAnsi="Trebuchet MS"/>
          <w:spacing w:val="20"/>
        </w:rPr>
        <w:t>.</w:t>
      </w:r>
      <w:r w:rsidR="008B6778">
        <w:rPr>
          <w:rStyle w:val="FootnoteReference"/>
          <w:rFonts w:ascii="Trebuchet MS" w:hAnsi="Trebuchet MS"/>
          <w:spacing w:val="20"/>
        </w:rPr>
        <w:footnoteReference w:id="132"/>
      </w:r>
      <w:r w:rsidR="00B81432">
        <w:rPr>
          <w:rFonts w:ascii="Trebuchet MS" w:hAnsi="Trebuchet MS"/>
          <w:spacing w:val="20"/>
        </w:rPr>
        <w:t xml:space="preserve"> </w:t>
      </w:r>
    </w:p>
    <w:p w14:paraId="34192B8B" w14:textId="77777777" w:rsidR="004B6004" w:rsidRDefault="004B6004" w:rsidP="00A61121">
      <w:pPr>
        <w:spacing w:line="480" w:lineRule="auto"/>
        <w:contextualSpacing/>
        <w:jc w:val="both"/>
        <w:rPr>
          <w:rFonts w:ascii="Trebuchet MS" w:hAnsi="Trebuchet MS"/>
          <w:spacing w:val="20"/>
        </w:rPr>
      </w:pPr>
    </w:p>
    <w:p w14:paraId="0AAD68F8" w14:textId="21C43BCB" w:rsidR="00806D84" w:rsidRDefault="00806D84" w:rsidP="00A61121">
      <w:pPr>
        <w:spacing w:line="480" w:lineRule="auto"/>
        <w:contextualSpacing/>
        <w:jc w:val="both"/>
        <w:rPr>
          <w:rFonts w:ascii="Trebuchet MS" w:hAnsi="Trebuchet MS"/>
          <w:spacing w:val="20"/>
        </w:rPr>
      </w:pPr>
      <w:r>
        <w:rPr>
          <w:rFonts w:ascii="Trebuchet MS" w:hAnsi="Trebuchet MS"/>
          <w:spacing w:val="20"/>
        </w:rPr>
        <w:t>Finally, as rightly stated,</w:t>
      </w:r>
      <w:r>
        <w:rPr>
          <w:rStyle w:val="FootnoteReference"/>
          <w:rFonts w:ascii="Trebuchet MS" w:hAnsi="Trebuchet MS"/>
          <w:spacing w:val="20"/>
        </w:rPr>
        <w:footnoteReference w:id="133"/>
      </w:r>
      <w:r>
        <w:rPr>
          <w:rFonts w:ascii="Trebuchet MS" w:hAnsi="Trebuchet MS"/>
          <w:spacing w:val="20"/>
        </w:rPr>
        <w:t xml:space="preserve"> b</w:t>
      </w:r>
      <w:r w:rsidRPr="007F64CE">
        <w:rPr>
          <w:rFonts w:ascii="Trebuchet MS" w:hAnsi="Trebuchet MS"/>
          <w:spacing w:val="20"/>
        </w:rPr>
        <w:t>oth E</w:t>
      </w:r>
      <w:r>
        <w:rPr>
          <w:rFonts w:ascii="Trebuchet MS" w:hAnsi="Trebuchet MS"/>
          <w:spacing w:val="20"/>
        </w:rPr>
        <w:t xml:space="preserve">lection </w:t>
      </w:r>
      <w:r w:rsidRPr="007F64CE">
        <w:rPr>
          <w:rFonts w:ascii="Trebuchet MS" w:hAnsi="Trebuchet MS"/>
          <w:spacing w:val="20"/>
        </w:rPr>
        <w:t>D</w:t>
      </w:r>
      <w:r>
        <w:rPr>
          <w:rFonts w:ascii="Trebuchet MS" w:hAnsi="Trebuchet MS"/>
          <w:spacing w:val="20"/>
        </w:rPr>
        <w:t xml:space="preserve">ispute </w:t>
      </w:r>
      <w:r w:rsidRPr="007F64CE">
        <w:rPr>
          <w:rFonts w:ascii="Trebuchet MS" w:hAnsi="Trebuchet MS"/>
          <w:spacing w:val="20"/>
        </w:rPr>
        <w:t>R</w:t>
      </w:r>
      <w:r>
        <w:rPr>
          <w:rFonts w:ascii="Trebuchet MS" w:hAnsi="Trebuchet MS"/>
          <w:spacing w:val="20"/>
        </w:rPr>
        <w:t>esolution</w:t>
      </w:r>
      <w:r w:rsidRPr="007F64CE">
        <w:rPr>
          <w:rFonts w:ascii="Trebuchet MS" w:hAnsi="Trebuchet MS"/>
          <w:spacing w:val="20"/>
        </w:rPr>
        <w:t xml:space="preserve"> and A</w:t>
      </w:r>
      <w:r>
        <w:rPr>
          <w:rFonts w:ascii="Trebuchet MS" w:hAnsi="Trebuchet MS"/>
          <w:spacing w:val="20"/>
        </w:rPr>
        <w:t xml:space="preserve">lternative </w:t>
      </w:r>
      <w:r w:rsidRPr="007F64CE">
        <w:rPr>
          <w:rFonts w:ascii="Trebuchet MS" w:hAnsi="Trebuchet MS"/>
          <w:spacing w:val="20"/>
        </w:rPr>
        <w:t>E</w:t>
      </w:r>
      <w:r>
        <w:rPr>
          <w:rFonts w:ascii="Trebuchet MS" w:hAnsi="Trebuchet MS"/>
          <w:spacing w:val="20"/>
        </w:rPr>
        <w:t xml:space="preserve">lection </w:t>
      </w:r>
      <w:r w:rsidRPr="007F64CE">
        <w:rPr>
          <w:rFonts w:ascii="Trebuchet MS" w:hAnsi="Trebuchet MS"/>
          <w:spacing w:val="20"/>
        </w:rPr>
        <w:t>D</w:t>
      </w:r>
      <w:r>
        <w:rPr>
          <w:rFonts w:ascii="Trebuchet MS" w:hAnsi="Trebuchet MS"/>
          <w:spacing w:val="20"/>
        </w:rPr>
        <w:t xml:space="preserve">ispute </w:t>
      </w:r>
      <w:r w:rsidRPr="007F64CE">
        <w:rPr>
          <w:rFonts w:ascii="Trebuchet MS" w:hAnsi="Trebuchet MS"/>
          <w:spacing w:val="20"/>
        </w:rPr>
        <w:t>R</w:t>
      </w:r>
      <w:r>
        <w:rPr>
          <w:rFonts w:ascii="Trebuchet MS" w:hAnsi="Trebuchet MS"/>
          <w:spacing w:val="20"/>
        </w:rPr>
        <w:t>esolution</w:t>
      </w:r>
      <w:r w:rsidRPr="007F64CE">
        <w:rPr>
          <w:rFonts w:ascii="Trebuchet MS" w:hAnsi="Trebuchet MS"/>
          <w:spacing w:val="20"/>
        </w:rPr>
        <w:t xml:space="preserve"> systems ulti</w:t>
      </w:r>
      <w:r>
        <w:rPr>
          <w:rFonts w:ascii="Trebuchet MS" w:hAnsi="Trebuchet MS"/>
          <w:spacing w:val="20"/>
        </w:rPr>
        <w:t xml:space="preserve">mately have value when they are </w:t>
      </w:r>
      <w:r w:rsidRPr="007F64CE">
        <w:rPr>
          <w:rFonts w:ascii="Trebuchet MS" w:hAnsi="Trebuchet MS"/>
          <w:spacing w:val="20"/>
        </w:rPr>
        <w:t xml:space="preserve">trusted and if necessary used when complaints arise. Even when this trust is broadly present, they are still part of an overall electoral process in which the participants are political actors. </w:t>
      </w:r>
      <w:r>
        <w:rPr>
          <w:rFonts w:ascii="Trebuchet MS" w:hAnsi="Trebuchet MS"/>
          <w:spacing w:val="20"/>
        </w:rPr>
        <w:t>Politicians make political judgments</w:t>
      </w:r>
      <w:r w:rsidRPr="007F64CE">
        <w:rPr>
          <w:rFonts w:ascii="Trebuchet MS" w:hAnsi="Trebuchet MS"/>
          <w:spacing w:val="20"/>
        </w:rPr>
        <w:t xml:space="preserve"> and the electoral justice system has to be an attractive enough option to encourage them to use it</w:t>
      </w:r>
      <w:r>
        <w:rPr>
          <w:rFonts w:ascii="Trebuchet MS" w:hAnsi="Trebuchet MS"/>
          <w:spacing w:val="20"/>
        </w:rPr>
        <w:t>.</w:t>
      </w:r>
    </w:p>
    <w:p w14:paraId="1D8DB1DF" w14:textId="77777777" w:rsidR="00E00BB3" w:rsidRDefault="00E00BB3" w:rsidP="00A51DCC">
      <w:pPr>
        <w:spacing w:line="480" w:lineRule="auto"/>
        <w:contextualSpacing/>
        <w:jc w:val="both"/>
        <w:rPr>
          <w:rFonts w:ascii="Trebuchet MS" w:hAnsi="Trebuchet MS"/>
          <w:spacing w:val="20"/>
        </w:rPr>
        <w:sectPr w:rsidR="00E00BB3" w:rsidSect="00146479">
          <w:pgSz w:w="11900" w:h="16840"/>
          <w:pgMar w:top="1440" w:right="1800" w:bottom="1440" w:left="1800" w:header="708" w:footer="708" w:gutter="0"/>
          <w:cols w:space="708"/>
          <w:docGrid w:linePitch="360"/>
        </w:sectPr>
      </w:pPr>
    </w:p>
    <w:p w14:paraId="5AFD61F3" w14:textId="77777777" w:rsidR="00E00BB3" w:rsidRPr="00E47BA8" w:rsidRDefault="00E00BB3" w:rsidP="00E00BB3">
      <w:pPr>
        <w:pBdr>
          <w:bottom w:val="single" w:sz="4" w:space="1" w:color="auto"/>
        </w:pBdr>
        <w:spacing w:line="480" w:lineRule="auto"/>
        <w:contextualSpacing/>
        <w:jc w:val="center"/>
        <w:rPr>
          <w:rFonts w:ascii="Trebuchet MS" w:hAnsi="Trebuchet MS"/>
          <w:smallCaps/>
          <w:spacing w:val="20"/>
          <w:sz w:val="38"/>
        </w:rPr>
      </w:pPr>
      <w:r w:rsidRPr="00E47BA8">
        <w:rPr>
          <w:rFonts w:ascii="Trebuchet MS" w:hAnsi="Trebuchet MS"/>
          <w:smallCaps/>
          <w:spacing w:val="20"/>
          <w:sz w:val="38"/>
        </w:rPr>
        <w:t xml:space="preserve">Election Dispute Resolution </w:t>
      </w:r>
    </w:p>
    <w:p w14:paraId="2D74C3DF" w14:textId="77777777" w:rsidR="00E00BB3" w:rsidRPr="00E47BA8" w:rsidRDefault="00E00BB3" w:rsidP="00E00BB3">
      <w:pPr>
        <w:pBdr>
          <w:bottom w:val="single" w:sz="4" w:space="1" w:color="auto"/>
        </w:pBdr>
        <w:spacing w:line="480" w:lineRule="auto"/>
        <w:contextualSpacing/>
        <w:jc w:val="center"/>
        <w:rPr>
          <w:rFonts w:ascii="Trebuchet MS" w:hAnsi="Trebuchet MS"/>
          <w:smallCaps/>
          <w:spacing w:val="20"/>
          <w:sz w:val="38"/>
        </w:rPr>
      </w:pPr>
      <w:r w:rsidRPr="00E47BA8">
        <w:rPr>
          <w:rFonts w:ascii="Trebuchet MS" w:hAnsi="Trebuchet MS"/>
          <w:smallCaps/>
          <w:spacing w:val="20"/>
          <w:sz w:val="38"/>
        </w:rPr>
        <w:t xml:space="preserve">and </w:t>
      </w:r>
    </w:p>
    <w:p w14:paraId="51739A90" w14:textId="738B193A" w:rsidR="00E00BB3" w:rsidRPr="00E47BA8" w:rsidRDefault="00E00BB3" w:rsidP="00E00BB3">
      <w:pPr>
        <w:pBdr>
          <w:bottom w:val="single" w:sz="4" w:space="1" w:color="auto"/>
        </w:pBdr>
        <w:spacing w:line="480" w:lineRule="auto"/>
        <w:contextualSpacing/>
        <w:jc w:val="center"/>
        <w:rPr>
          <w:rFonts w:ascii="Trebuchet MS" w:hAnsi="Trebuchet MS"/>
          <w:smallCaps/>
          <w:spacing w:val="20"/>
          <w:sz w:val="38"/>
        </w:rPr>
      </w:pPr>
      <w:r w:rsidRPr="00E47BA8">
        <w:rPr>
          <w:rFonts w:ascii="Trebuchet MS" w:hAnsi="Trebuchet MS"/>
          <w:smallCaps/>
          <w:spacing w:val="20"/>
          <w:sz w:val="38"/>
        </w:rPr>
        <w:t>The Question of Justice in Nigeria.</w:t>
      </w:r>
    </w:p>
    <w:p w14:paraId="00683691" w14:textId="3902052F" w:rsidR="00E00BB3" w:rsidRDefault="00E00BB3" w:rsidP="00E47BA8">
      <w:pPr>
        <w:spacing w:line="480" w:lineRule="auto"/>
        <w:contextualSpacing/>
        <w:jc w:val="both"/>
        <w:rPr>
          <w:rFonts w:ascii="Trebuchet MS" w:hAnsi="Trebuchet MS"/>
          <w:spacing w:val="20"/>
        </w:rPr>
      </w:pPr>
    </w:p>
    <w:p w14:paraId="38795525" w14:textId="77777777" w:rsidR="00806D84" w:rsidRDefault="00806D84" w:rsidP="00E47BA8">
      <w:pPr>
        <w:spacing w:line="480" w:lineRule="auto"/>
        <w:contextualSpacing/>
        <w:jc w:val="both"/>
        <w:rPr>
          <w:rFonts w:ascii="Trebuchet MS" w:hAnsi="Trebuchet MS"/>
          <w:spacing w:val="20"/>
        </w:rPr>
      </w:pPr>
    </w:p>
    <w:p w14:paraId="39A09A68" w14:textId="77777777" w:rsidR="00806D84" w:rsidRDefault="00806D84" w:rsidP="00E47BA8">
      <w:pPr>
        <w:spacing w:line="480" w:lineRule="auto"/>
        <w:contextualSpacing/>
        <w:jc w:val="both"/>
        <w:rPr>
          <w:rFonts w:ascii="Trebuchet MS" w:hAnsi="Trebuchet MS"/>
          <w:spacing w:val="20"/>
        </w:rPr>
      </w:pPr>
    </w:p>
    <w:p w14:paraId="13DAC0C4" w14:textId="77777777" w:rsidR="00D0631D" w:rsidRDefault="00D0631D" w:rsidP="00E47BA8">
      <w:pPr>
        <w:spacing w:line="480" w:lineRule="auto"/>
        <w:contextualSpacing/>
        <w:jc w:val="both"/>
        <w:rPr>
          <w:rFonts w:ascii="Trebuchet MS" w:hAnsi="Trebuchet MS"/>
          <w:spacing w:val="20"/>
        </w:rPr>
      </w:pPr>
    </w:p>
    <w:p w14:paraId="0367EF3F" w14:textId="77777777" w:rsidR="007F64CE" w:rsidRDefault="007F64CE" w:rsidP="00E47BA8">
      <w:pPr>
        <w:spacing w:line="480" w:lineRule="auto"/>
        <w:contextualSpacing/>
        <w:jc w:val="both"/>
        <w:rPr>
          <w:rFonts w:ascii="Trebuchet MS" w:hAnsi="Trebuchet MS"/>
          <w:spacing w:val="20"/>
        </w:rPr>
      </w:pPr>
    </w:p>
    <w:p w14:paraId="4551FD35" w14:textId="4CF6FA02" w:rsidR="007F64CE" w:rsidRDefault="007F64CE" w:rsidP="00E47BA8">
      <w:pPr>
        <w:spacing w:line="480" w:lineRule="auto"/>
        <w:contextualSpacing/>
        <w:jc w:val="both"/>
        <w:rPr>
          <w:rFonts w:ascii="Trebuchet MS" w:hAnsi="Trebuchet MS"/>
          <w:spacing w:val="20"/>
        </w:rPr>
      </w:pPr>
    </w:p>
    <w:p w14:paraId="3A53B065" w14:textId="77777777" w:rsidR="00E00BB3" w:rsidRDefault="00E00BB3" w:rsidP="00E47BA8">
      <w:pPr>
        <w:spacing w:line="480" w:lineRule="auto"/>
        <w:contextualSpacing/>
        <w:jc w:val="both"/>
        <w:rPr>
          <w:rFonts w:ascii="Trebuchet MS" w:hAnsi="Trebuchet MS"/>
          <w:spacing w:val="20"/>
        </w:rPr>
      </w:pPr>
    </w:p>
    <w:p w14:paraId="37A2E2F1" w14:textId="77777777" w:rsidR="00E00BB3" w:rsidRDefault="00E00BB3" w:rsidP="00E47BA8">
      <w:pPr>
        <w:spacing w:line="480" w:lineRule="auto"/>
        <w:contextualSpacing/>
        <w:jc w:val="both"/>
        <w:rPr>
          <w:rFonts w:ascii="Trebuchet MS" w:hAnsi="Trebuchet MS"/>
          <w:spacing w:val="20"/>
        </w:rPr>
      </w:pPr>
    </w:p>
    <w:p w14:paraId="7EE8FFA1" w14:textId="63160060" w:rsidR="00E00BB3" w:rsidRPr="00E00BB3" w:rsidRDefault="00E00BB3" w:rsidP="00E47BA8">
      <w:pPr>
        <w:spacing w:line="360" w:lineRule="auto"/>
        <w:contextualSpacing/>
        <w:jc w:val="both"/>
        <w:rPr>
          <w:rFonts w:ascii="Trebuchet MS" w:hAnsi="Trebuchet MS"/>
          <w:b/>
          <w:spacing w:val="20"/>
        </w:rPr>
      </w:pPr>
      <w:r w:rsidRPr="00E00BB3">
        <w:rPr>
          <w:rFonts w:ascii="Trebuchet MS" w:hAnsi="Trebuchet MS"/>
          <w:b/>
          <w:spacing w:val="20"/>
        </w:rPr>
        <w:t>Paper submitted by:</w:t>
      </w:r>
    </w:p>
    <w:p w14:paraId="4BA3B9A6" w14:textId="0C79C4C8" w:rsidR="00E00BB3" w:rsidRDefault="00E00BB3" w:rsidP="00E47BA8">
      <w:pPr>
        <w:spacing w:line="360" w:lineRule="auto"/>
        <w:contextualSpacing/>
        <w:jc w:val="both"/>
        <w:rPr>
          <w:rFonts w:ascii="Trebuchet MS" w:hAnsi="Trebuchet MS"/>
          <w:spacing w:val="20"/>
        </w:rPr>
      </w:pPr>
      <w:r>
        <w:rPr>
          <w:rFonts w:ascii="Trebuchet MS" w:hAnsi="Trebuchet MS"/>
          <w:spacing w:val="20"/>
        </w:rPr>
        <w:t>Dr. Muiz Banire,</w:t>
      </w:r>
    </w:p>
    <w:p w14:paraId="5E19525E" w14:textId="3C15EDC6" w:rsidR="00E00BB3" w:rsidRDefault="00E00BB3" w:rsidP="00E47BA8">
      <w:pPr>
        <w:spacing w:line="360" w:lineRule="auto"/>
        <w:contextualSpacing/>
        <w:jc w:val="both"/>
        <w:rPr>
          <w:rFonts w:ascii="Trebuchet MS" w:hAnsi="Trebuchet MS"/>
          <w:spacing w:val="20"/>
        </w:rPr>
      </w:pPr>
      <w:r>
        <w:rPr>
          <w:rFonts w:ascii="Trebuchet MS" w:hAnsi="Trebuchet MS"/>
          <w:spacing w:val="20"/>
        </w:rPr>
        <w:t>Principal and Founding Associate,</w:t>
      </w:r>
    </w:p>
    <w:p w14:paraId="367EDDF6" w14:textId="304FA2BE" w:rsidR="00E00BB3" w:rsidRPr="00E47BA8" w:rsidRDefault="00E00BB3" w:rsidP="00392F42">
      <w:pPr>
        <w:spacing w:line="360" w:lineRule="auto"/>
        <w:contextualSpacing/>
        <w:jc w:val="both"/>
        <w:rPr>
          <w:rFonts w:ascii="Trebuchet MS" w:hAnsi="Trebuchet MS"/>
          <w:smallCaps/>
          <w:spacing w:val="20"/>
        </w:rPr>
      </w:pPr>
      <w:r w:rsidRPr="00E47BA8">
        <w:rPr>
          <w:rFonts w:ascii="Trebuchet MS" w:hAnsi="Trebuchet MS"/>
          <w:smallCaps/>
          <w:spacing w:val="20"/>
        </w:rPr>
        <w:t>M. A. Banire &amp; Associates,</w:t>
      </w:r>
    </w:p>
    <w:p w14:paraId="7A231661" w14:textId="42F0D858" w:rsidR="00E00BB3" w:rsidRDefault="00E00BB3" w:rsidP="00E47BA8">
      <w:pPr>
        <w:spacing w:line="360" w:lineRule="auto"/>
        <w:contextualSpacing/>
        <w:jc w:val="both"/>
        <w:rPr>
          <w:rFonts w:ascii="Trebuchet MS" w:hAnsi="Trebuchet MS"/>
          <w:spacing w:val="20"/>
        </w:rPr>
      </w:pPr>
      <w:r>
        <w:rPr>
          <w:rFonts w:ascii="Trebuchet MS" w:hAnsi="Trebuchet MS"/>
          <w:spacing w:val="20"/>
        </w:rPr>
        <w:t>FCMB/Bedmate Building,</w:t>
      </w:r>
    </w:p>
    <w:p w14:paraId="2F1E92C2" w14:textId="3AD97A97" w:rsidR="00E00BB3" w:rsidRDefault="00E00BB3" w:rsidP="00E47BA8">
      <w:pPr>
        <w:spacing w:line="360" w:lineRule="auto"/>
        <w:contextualSpacing/>
        <w:jc w:val="both"/>
        <w:rPr>
          <w:rFonts w:ascii="Trebuchet MS" w:hAnsi="Trebuchet MS"/>
          <w:spacing w:val="20"/>
        </w:rPr>
      </w:pPr>
      <w:r>
        <w:rPr>
          <w:rFonts w:ascii="Trebuchet MS" w:hAnsi="Trebuchet MS"/>
          <w:spacing w:val="20"/>
        </w:rPr>
        <w:t>18</w:t>
      </w:r>
      <w:r w:rsidR="00392F42">
        <w:rPr>
          <w:rFonts w:ascii="Trebuchet MS" w:hAnsi="Trebuchet MS"/>
          <w:spacing w:val="20"/>
        </w:rPr>
        <w:t>,</w:t>
      </w:r>
      <w:r>
        <w:rPr>
          <w:rFonts w:ascii="Trebuchet MS" w:hAnsi="Trebuchet MS"/>
          <w:spacing w:val="20"/>
        </w:rPr>
        <w:t xml:space="preserve"> Mobolaji Bank-Anthony Way,</w:t>
      </w:r>
    </w:p>
    <w:p w14:paraId="2CA886D4" w14:textId="69777A3A" w:rsidR="00E00BB3" w:rsidRDefault="00E00BB3" w:rsidP="00E47BA8">
      <w:pPr>
        <w:spacing w:line="360" w:lineRule="auto"/>
        <w:contextualSpacing/>
        <w:jc w:val="both"/>
        <w:rPr>
          <w:rFonts w:ascii="Trebuchet MS" w:hAnsi="Trebuchet MS"/>
          <w:spacing w:val="20"/>
        </w:rPr>
      </w:pPr>
      <w:r>
        <w:rPr>
          <w:rFonts w:ascii="Trebuchet MS" w:hAnsi="Trebuchet MS"/>
          <w:spacing w:val="20"/>
        </w:rPr>
        <w:t>Ikeja, Lagos.</w:t>
      </w:r>
    </w:p>
    <w:p w14:paraId="0ED70214" w14:textId="7E856BA2" w:rsidR="00E00BB3" w:rsidRDefault="00C32E32" w:rsidP="00E47BA8">
      <w:pPr>
        <w:spacing w:line="360" w:lineRule="auto"/>
        <w:contextualSpacing/>
        <w:jc w:val="both"/>
        <w:rPr>
          <w:rFonts w:ascii="Trebuchet MS" w:hAnsi="Trebuchet MS"/>
          <w:spacing w:val="20"/>
        </w:rPr>
      </w:pPr>
      <w:r>
        <w:rPr>
          <w:rFonts w:ascii="Trebuchet MS" w:hAnsi="Trebuchet MS"/>
          <w:spacing w:val="20"/>
        </w:rPr>
        <w:t xml:space="preserve">Tel: </w:t>
      </w:r>
      <w:r w:rsidR="00E00BB3">
        <w:rPr>
          <w:rFonts w:ascii="Trebuchet MS" w:hAnsi="Trebuchet MS"/>
          <w:spacing w:val="20"/>
        </w:rPr>
        <w:t>08033066686</w:t>
      </w:r>
    </w:p>
    <w:p w14:paraId="2798EF6B" w14:textId="1E826462" w:rsidR="00E00BB3" w:rsidRPr="00D0631D" w:rsidRDefault="00C32E32" w:rsidP="00E47BA8">
      <w:pPr>
        <w:spacing w:line="360" w:lineRule="auto"/>
        <w:contextualSpacing/>
        <w:jc w:val="both"/>
        <w:rPr>
          <w:rFonts w:ascii="Trebuchet MS" w:hAnsi="Trebuchet MS"/>
          <w:spacing w:val="20"/>
        </w:rPr>
      </w:pPr>
      <w:r>
        <w:rPr>
          <w:rFonts w:ascii="Trebuchet MS" w:hAnsi="Trebuchet MS"/>
          <w:spacing w:val="20"/>
        </w:rPr>
        <w:t xml:space="preserve">E mail: </w:t>
      </w:r>
      <w:r w:rsidR="00E00BB3">
        <w:rPr>
          <w:rFonts w:ascii="Trebuchet MS" w:hAnsi="Trebuchet MS"/>
          <w:spacing w:val="20"/>
        </w:rPr>
        <w:t>muizbanire@yahoo.com</w:t>
      </w:r>
      <w:r w:rsidR="009925F0">
        <w:rPr>
          <w:rFonts w:ascii="Trebuchet MS" w:hAnsi="Trebuchet MS"/>
          <w:spacing w:val="20"/>
        </w:rPr>
        <w:t>;mbanire@mabandassociates.com</w:t>
      </w:r>
    </w:p>
    <w:p w14:paraId="2F932309" w14:textId="77777777" w:rsidR="00D0631D" w:rsidRPr="00D0631D" w:rsidRDefault="00D0631D" w:rsidP="00E47BA8">
      <w:pPr>
        <w:spacing w:line="480" w:lineRule="auto"/>
        <w:contextualSpacing/>
        <w:jc w:val="both"/>
        <w:rPr>
          <w:rFonts w:ascii="Trebuchet MS" w:hAnsi="Trebuchet MS"/>
          <w:spacing w:val="20"/>
        </w:rPr>
      </w:pPr>
    </w:p>
    <w:p w14:paraId="79CE75BC" w14:textId="7DFF3A08" w:rsidR="007A5006" w:rsidRPr="007A5006" w:rsidRDefault="007A5006" w:rsidP="00E47BA8">
      <w:pPr>
        <w:spacing w:line="480" w:lineRule="auto"/>
        <w:contextualSpacing/>
        <w:jc w:val="both"/>
        <w:rPr>
          <w:rFonts w:ascii="Trebuchet MS" w:hAnsi="Trebuchet MS"/>
          <w:spacing w:val="20"/>
        </w:rPr>
      </w:pPr>
      <w:r w:rsidRPr="007A5006">
        <w:rPr>
          <w:rFonts w:ascii="Trebuchet MS" w:hAnsi="Trebuchet MS"/>
          <w:spacing w:val="20"/>
        </w:rPr>
        <w:t xml:space="preserve"> </w:t>
      </w:r>
    </w:p>
    <w:p w14:paraId="19B567F6" w14:textId="77777777" w:rsidR="00EE49EC" w:rsidRDefault="00EE49EC" w:rsidP="00E47BA8">
      <w:pPr>
        <w:spacing w:line="480" w:lineRule="auto"/>
        <w:contextualSpacing/>
        <w:jc w:val="both"/>
        <w:rPr>
          <w:rFonts w:ascii="Trebuchet MS" w:hAnsi="Trebuchet MS"/>
          <w:spacing w:val="20"/>
        </w:rPr>
      </w:pPr>
    </w:p>
    <w:sectPr w:rsidR="00EE49EC" w:rsidSect="0014647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218C3" w14:textId="77777777" w:rsidR="00F752A4" w:rsidRDefault="00F752A4" w:rsidP="006A45E7">
      <w:r>
        <w:separator/>
      </w:r>
    </w:p>
  </w:endnote>
  <w:endnote w:type="continuationSeparator" w:id="0">
    <w:p w14:paraId="6A085D96" w14:textId="77777777" w:rsidR="00F752A4" w:rsidRDefault="00F752A4" w:rsidP="006A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E15A5" w14:textId="77777777" w:rsidR="00F752A4" w:rsidRDefault="00F752A4" w:rsidP="004B69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53A999" w14:textId="77777777" w:rsidR="00F752A4" w:rsidRDefault="00F752A4" w:rsidP="004B695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D3C11" w14:textId="77777777" w:rsidR="00F752A4" w:rsidRDefault="00F752A4" w:rsidP="004B69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7DF7">
      <w:rPr>
        <w:rStyle w:val="PageNumber"/>
        <w:noProof/>
      </w:rPr>
      <w:t>1</w:t>
    </w:r>
    <w:r>
      <w:rPr>
        <w:rStyle w:val="PageNumber"/>
      </w:rPr>
      <w:fldChar w:fldCharType="end"/>
    </w:r>
  </w:p>
  <w:p w14:paraId="51C76AE9" w14:textId="77777777" w:rsidR="00F752A4" w:rsidRDefault="00F752A4" w:rsidP="004B695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A3253" w14:textId="77777777" w:rsidR="00F752A4" w:rsidRDefault="00F752A4" w:rsidP="006A45E7">
      <w:r>
        <w:separator/>
      </w:r>
    </w:p>
  </w:footnote>
  <w:footnote w:type="continuationSeparator" w:id="0">
    <w:p w14:paraId="5EA24A83" w14:textId="77777777" w:rsidR="00F752A4" w:rsidRDefault="00F752A4" w:rsidP="006A45E7">
      <w:r>
        <w:continuationSeparator/>
      </w:r>
    </w:p>
  </w:footnote>
  <w:footnote w:id="1">
    <w:p w14:paraId="5494558F" w14:textId="01AC19C4"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rPr>
        <w:tab/>
      </w:r>
      <w:r w:rsidRPr="008D55C6">
        <w:rPr>
          <w:rFonts w:ascii="Trebuchet MS" w:hAnsi="Trebuchet MS"/>
          <w:sz w:val="20"/>
          <w:szCs w:val="20"/>
        </w:rPr>
        <w:t>Orozco Henriquez and Dr. Raul Avila: Concept paper developed and presented on “Electoral Dispute Resolution Systems: Towards A Handbook and Related Materials” to EDR Expert Group Workshop held in Mexico 27-28 May, 2004. p. 2-3. &lt;</w:t>
      </w:r>
      <w:hyperlink r:id="rId1" w:history="1">
        <w:r w:rsidRPr="008D55C6">
          <w:rPr>
            <w:rStyle w:val="Hyperlink"/>
            <w:rFonts w:ascii="Trebuchet MS" w:hAnsi="Trebuchet MS"/>
            <w:sz w:val="20"/>
            <w:szCs w:val="20"/>
          </w:rPr>
          <w:t>http://www.idea.int/news/newsletters/upload/concept_paper_EDR.pdf</w:t>
        </w:r>
      </w:hyperlink>
      <w:r w:rsidRPr="008D55C6">
        <w:rPr>
          <w:rStyle w:val="Hyperlink"/>
          <w:rFonts w:ascii="Trebuchet MS" w:hAnsi="Trebuchet MS"/>
          <w:sz w:val="20"/>
          <w:szCs w:val="20"/>
        </w:rPr>
        <w:t>&gt; last visited on 10</w:t>
      </w:r>
      <w:r w:rsidRPr="008D55C6">
        <w:rPr>
          <w:rStyle w:val="Hyperlink"/>
          <w:rFonts w:ascii="Trebuchet MS" w:hAnsi="Trebuchet MS"/>
          <w:sz w:val="20"/>
          <w:szCs w:val="20"/>
          <w:vertAlign w:val="superscript"/>
        </w:rPr>
        <w:t>th</w:t>
      </w:r>
      <w:r w:rsidRPr="008D55C6">
        <w:rPr>
          <w:rStyle w:val="Hyperlink"/>
          <w:rFonts w:ascii="Trebuchet MS" w:hAnsi="Trebuchet MS"/>
          <w:sz w:val="20"/>
          <w:szCs w:val="20"/>
        </w:rPr>
        <w:t xml:space="preserve"> May, 2014.</w:t>
      </w:r>
    </w:p>
  </w:footnote>
  <w:footnote w:id="2">
    <w:p w14:paraId="055E4C35" w14:textId="42652CC6"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Kufuor, Others Proffer Solution to Nigeria’s Electoral Disputes. This Day Live Saturday 10, 2014. &lt;</w:t>
      </w:r>
      <w:hyperlink r:id="rId2" w:history="1">
        <w:r w:rsidRPr="008D55C6">
          <w:rPr>
            <w:rStyle w:val="Hyperlink"/>
            <w:rFonts w:ascii="Trebuchet MS" w:hAnsi="Trebuchet MS"/>
            <w:sz w:val="20"/>
            <w:szCs w:val="20"/>
          </w:rPr>
          <w:t>http://www.thisdaylive.com/articles/kufuor-others-proffer-solution-to-nigeria-s-electoral-disputes/73890/</w:t>
        </w:r>
      </w:hyperlink>
      <w:r w:rsidRPr="008D55C6">
        <w:rPr>
          <w:rFonts w:ascii="Trebuchet MS" w:hAnsi="Trebuchet MS"/>
          <w:sz w:val="20"/>
          <w:szCs w:val="20"/>
        </w:rPr>
        <w:t>&gt; last visited on10th May, 2014.</w:t>
      </w:r>
    </w:p>
  </w:footnote>
  <w:footnote w:id="3">
    <w:p w14:paraId="29D1DF03" w14:textId="2FB0CD30"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Democracy Reporting International. Briefing Paper 35, January 2013 “Election Dispute Resolution: Analysis of Pakistan’s Mechanisms Prior to the 2013 Parliamentary Elections” 1. &lt;</w:t>
      </w:r>
      <w:hyperlink r:id="rId3" w:history="1">
        <w:r w:rsidRPr="008D55C6">
          <w:rPr>
            <w:rStyle w:val="Hyperlink"/>
            <w:rFonts w:ascii="Trebuchet MS" w:hAnsi="Trebuchet MS"/>
            <w:sz w:val="20"/>
            <w:szCs w:val="20"/>
          </w:rPr>
          <w:t>http://www.democracy-reporting.org/files/dri-pk_bp35_edr.pdf</w:t>
        </w:r>
      </w:hyperlink>
      <w:r w:rsidRPr="008D55C6">
        <w:rPr>
          <w:rFonts w:ascii="Trebuchet MS" w:hAnsi="Trebuchet MS"/>
          <w:sz w:val="20"/>
          <w:szCs w:val="20"/>
        </w:rPr>
        <w:t>&gt; last visited on 10</w:t>
      </w:r>
      <w:r w:rsidRPr="008D55C6">
        <w:rPr>
          <w:rFonts w:ascii="Trebuchet MS" w:hAnsi="Trebuchet MS"/>
          <w:sz w:val="20"/>
          <w:szCs w:val="20"/>
          <w:vertAlign w:val="superscript"/>
        </w:rPr>
        <w:t>th</w:t>
      </w:r>
      <w:r w:rsidRPr="008D55C6">
        <w:rPr>
          <w:rFonts w:ascii="Trebuchet MS" w:hAnsi="Trebuchet MS"/>
          <w:sz w:val="20"/>
          <w:szCs w:val="20"/>
        </w:rPr>
        <w:t xml:space="preserve"> May, 2014.</w:t>
      </w:r>
    </w:p>
  </w:footnote>
  <w:footnote w:id="4">
    <w:p w14:paraId="352513DD" w14:textId="2CBC80D5"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Orozco Henriquez and Dr. Raul Avila: Concept paper developed and presented on “Electoral Dispute Resolution Systems: Towards A Handbook and Related Materials” to EDR Expert Group Workshop held in Mexico 27-28 May, 2004. p. 3. &lt;</w:t>
      </w:r>
      <w:hyperlink r:id="rId4" w:history="1">
        <w:r w:rsidRPr="008D55C6">
          <w:rPr>
            <w:rStyle w:val="Hyperlink"/>
            <w:rFonts w:ascii="Trebuchet MS" w:hAnsi="Trebuchet MS"/>
            <w:sz w:val="20"/>
            <w:szCs w:val="20"/>
          </w:rPr>
          <w:t>http://www.idea.int/news/newsletters/upload/concept_paper_EDR.pdf</w:t>
        </w:r>
      </w:hyperlink>
      <w:r w:rsidRPr="008D55C6">
        <w:rPr>
          <w:rStyle w:val="Hyperlink"/>
          <w:rFonts w:ascii="Trebuchet MS" w:hAnsi="Trebuchet MS"/>
          <w:sz w:val="20"/>
          <w:szCs w:val="20"/>
        </w:rPr>
        <w:t>&gt; last visited on 10</w:t>
      </w:r>
      <w:r w:rsidRPr="008D55C6">
        <w:rPr>
          <w:rStyle w:val="Hyperlink"/>
          <w:rFonts w:ascii="Trebuchet MS" w:hAnsi="Trebuchet MS"/>
          <w:sz w:val="20"/>
          <w:szCs w:val="20"/>
          <w:vertAlign w:val="superscript"/>
        </w:rPr>
        <w:t>th</w:t>
      </w:r>
      <w:r w:rsidRPr="008D55C6">
        <w:rPr>
          <w:rStyle w:val="Hyperlink"/>
          <w:rFonts w:ascii="Trebuchet MS" w:hAnsi="Trebuchet MS"/>
          <w:sz w:val="20"/>
          <w:szCs w:val="20"/>
        </w:rPr>
        <w:t xml:space="preserve"> May, 2014.</w:t>
      </w:r>
    </w:p>
  </w:footnote>
  <w:footnote w:id="5">
    <w:p w14:paraId="38B5F060" w14:textId="56A72F6A"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rPr>
        <w:t xml:space="preserve"> </w:t>
      </w:r>
      <w:r w:rsidRPr="008D55C6">
        <w:rPr>
          <w:rFonts w:ascii="Trebuchet MS" w:hAnsi="Trebuchet MS"/>
        </w:rPr>
        <w:tab/>
      </w:r>
      <w:r w:rsidRPr="008D55C6">
        <w:rPr>
          <w:rFonts w:ascii="Trebuchet MS" w:hAnsi="Trebuchet MS"/>
          <w:sz w:val="20"/>
          <w:szCs w:val="20"/>
        </w:rPr>
        <w:t>See The Nation Newspaper of Thursday, April 24, 2014 on “Tinubu warns against rigging in Ekiti, Osun” at pages 1, 2 and 65. See also The Punch Newspaper of Thursday, April 24, 2014 on “Tinubu warns PDP against rigging in Ekiti, Osun” at page 7.</w:t>
      </w:r>
    </w:p>
  </w:footnote>
  <w:footnote w:id="6">
    <w:p w14:paraId="1A355641" w14:textId="66D2CCA6"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 xml:space="preserve">In the case of </w:t>
      </w:r>
      <w:r w:rsidRPr="008D55C6">
        <w:rPr>
          <w:rFonts w:ascii="Trebuchet MS" w:hAnsi="Trebuchet MS"/>
          <w:i/>
          <w:sz w:val="20"/>
          <w:szCs w:val="20"/>
        </w:rPr>
        <w:t>P.D.P. v. C.P.C.</w:t>
      </w:r>
      <w:r w:rsidRPr="008D55C6">
        <w:rPr>
          <w:rFonts w:ascii="Trebuchet MS" w:hAnsi="Trebuchet MS"/>
          <w:sz w:val="20"/>
          <w:szCs w:val="20"/>
        </w:rPr>
        <w:t xml:space="preserve"> [2011] 17 NWLR (Pt. 1277) 485 at 507, para. E, while interpreting the provision of section 285(7) of the 1999 Constitution of the Federal Republic of Nigeria (as amended) Onnoghen J.S.C.  stated that “The intention of the drafters of the Constitution being to stop the practice of unnecessary delays in election matters, it is our duty to ensure compliance with the law by doing what is needed within the time frame. It may be difficult, in fact is very difficult but it is a sacrifice we all must make in the interest of our democracy until our politicians learn to accept the verdict of the people as expressed through the ballot box.” See also the case of </w:t>
      </w:r>
      <w:r w:rsidRPr="008D55C6">
        <w:rPr>
          <w:rFonts w:ascii="Trebuchet MS" w:hAnsi="Trebuchet MS"/>
          <w:i/>
          <w:sz w:val="20"/>
          <w:szCs w:val="20"/>
        </w:rPr>
        <w:t>Amadi &amp; Anor. v. INEC</w:t>
      </w:r>
      <w:r w:rsidRPr="008D55C6">
        <w:rPr>
          <w:rFonts w:ascii="Trebuchet MS" w:hAnsi="Trebuchet MS"/>
          <w:sz w:val="20"/>
          <w:szCs w:val="20"/>
        </w:rPr>
        <w:t xml:space="preserve"> (2012) 2 S.C. (Pt. I) 1 at 66, lines 1-10.</w:t>
      </w:r>
    </w:p>
  </w:footnote>
  <w:footnote w:id="7">
    <w:p w14:paraId="3C92D34A" w14:textId="4001DFA9"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rPr>
        <w:footnoteRef/>
      </w:r>
      <w:r w:rsidRPr="008D55C6">
        <w:rPr>
          <w:rFonts w:ascii="Trebuchet MS" w:hAnsi="Trebuchet MS"/>
          <w:sz w:val="20"/>
          <w:szCs w:val="20"/>
        </w:rPr>
        <w:t xml:space="preserve"> </w:t>
      </w:r>
      <w:r w:rsidRPr="008D55C6">
        <w:rPr>
          <w:rFonts w:ascii="Trebuchet MS" w:hAnsi="Trebuchet MS"/>
          <w:sz w:val="20"/>
          <w:szCs w:val="20"/>
        </w:rPr>
        <w:tab/>
        <w:t>Black’s Law Dictionary, 8</w:t>
      </w:r>
      <w:r w:rsidRPr="008D55C6">
        <w:rPr>
          <w:rFonts w:ascii="Trebuchet MS" w:hAnsi="Trebuchet MS"/>
          <w:sz w:val="20"/>
          <w:szCs w:val="20"/>
          <w:vertAlign w:val="superscript"/>
        </w:rPr>
        <w:t>th</w:t>
      </w:r>
      <w:r w:rsidRPr="008D55C6">
        <w:rPr>
          <w:rFonts w:ascii="Trebuchet MS" w:hAnsi="Trebuchet MS"/>
          <w:sz w:val="20"/>
          <w:szCs w:val="20"/>
        </w:rPr>
        <w:t xml:space="preserve"> Edition, 2004, p. 557.</w:t>
      </w:r>
    </w:p>
  </w:footnote>
  <w:footnote w:id="8">
    <w:p w14:paraId="67C0A32F" w14:textId="22EE2AB1"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rPr>
        <w:footnoteRef/>
      </w:r>
      <w:r w:rsidRPr="008D55C6">
        <w:rPr>
          <w:rFonts w:ascii="Trebuchet MS" w:hAnsi="Trebuchet MS"/>
          <w:sz w:val="20"/>
          <w:szCs w:val="20"/>
        </w:rPr>
        <w:t xml:space="preserve"> </w:t>
      </w:r>
      <w:r w:rsidRPr="008D55C6">
        <w:rPr>
          <w:rFonts w:ascii="Trebuchet MS" w:hAnsi="Trebuchet MS"/>
          <w:sz w:val="20"/>
          <w:szCs w:val="20"/>
        </w:rPr>
        <w:tab/>
        <w:t>[2004] 12 NWLR (886) 169 at 227, para. F-G.</w:t>
      </w:r>
    </w:p>
  </w:footnote>
  <w:footnote w:id="9">
    <w:p w14:paraId="6E25236F" w14:textId="3FD4AA05"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 xml:space="preserve">[2004] 14 NWLR (Pt. 892) 92 at 123, paras. F-G. </w:t>
      </w:r>
    </w:p>
  </w:footnote>
  <w:footnote w:id="10">
    <w:p w14:paraId="342B8B66" w14:textId="07A6B9C3"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[2011] 2 NWLR (</w:t>
      </w:r>
      <w:r>
        <w:rPr>
          <w:rFonts w:ascii="Trebuchet MS" w:hAnsi="Trebuchet MS"/>
          <w:sz w:val="20"/>
          <w:szCs w:val="20"/>
        </w:rPr>
        <w:t>P</w:t>
      </w:r>
      <w:r w:rsidRPr="008D55C6">
        <w:rPr>
          <w:rFonts w:ascii="Trebuchet MS" w:hAnsi="Trebuchet MS"/>
          <w:sz w:val="20"/>
          <w:szCs w:val="20"/>
        </w:rPr>
        <w:t>t</w:t>
      </w:r>
      <w:r>
        <w:rPr>
          <w:rFonts w:ascii="Trebuchet MS" w:hAnsi="Trebuchet MS"/>
          <w:sz w:val="20"/>
          <w:szCs w:val="20"/>
        </w:rPr>
        <w:t>.</w:t>
      </w:r>
      <w:r w:rsidRPr="008D55C6">
        <w:rPr>
          <w:rFonts w:ascii="Trebuchet MS" w:hAnsi="Trebuchet MS"/>
          <w:sz w:val="20"/>
          <w:szCs w:val="20"/>
        </w:rPr>
        <w:t xml:space="preserve"> 1232) 538 at 589-590, paras. F-A. See also the case of Igodo v. Owulo [1999] 5  NWLR (Pt. 601) 70 at 78-79, paras. H-A.</w:t>
      </w:r>
    </w:p>
  </w:footnote>
  <w:footnote w:id="11">
    <w:p w14:paraId="28ED5EE1" w14:textId="671A66CA"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 xml:space="preserve">Black’s Law Dictionary defines ‘Referendum’ as “[t]he process of referring a state legislative act, a state constitutional amendment, or an important public issue to the people for final approval by popular vote.” </w:t>
      </w:r>
      <w:r w:rsidRPr="008D55C6">
        <w:rPr>
          <w:rFonts w:ascii="Trebuchet MS" w:hAnsi="Trebuchet MS"/>
          <w:i/>
          <w:sz w:val="20"/>
          <w:szCs w:val="20"/>
        </w:rPr>
        <w:t>Supra</w:t>
      </w:r>
      <w:r w:rsidRPr="008D55C6">
        <w:rPr>
          <w:rFonts w:ascii="Trebuchet MS" w:hAnsi="Trebuchet MS"/>
          <w:sz w:val="20"/>
          <w:szCs w:val="20"/>
        </w:rPr>
        <w:t xml:space="preserve"> at 1307.</w:t>
      </w:r>
    </w:p>
  </w:footnote>
  <w:footnote w:id="12">
    <w:p w14:paraId="2EDB584C" w14:textId="7AE64CFD"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See Femi Falana’s Article titled “Militarisation of elections is unconstitutional” at Page 68 of The Punch Newspaper of Monday, July 21, 2014.</w:t>
      </w:r>
    </w:p>
  </w:footnote>
  <w:footnote w:id="13">
    <w:p w14:paraId="0E23080A" w14:textId="70247E8B"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 xml:space="preserve">Curfew imposition is a residual matter as same is not contained in either the exclusive legislative list or concurrent legislative list. It is stated that curfew may only be imposed by the Federal Government where a state of emergency is declared in a State by the Federal Government. </w:t>
      </w:r>
    </w:p>
  </w:footnote>
  <w:footnote w:id="14">
    <w:p w14:paraId="058FA93E" w14:textId="7CFD6D25"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See section 87 of the Electoral Act, 2010 (as amended).</w:t>
      </w:r>
    </w:p>
  </w:footnote>
  <w:footnote w:id="15">
    <w:p w14:paraId="543FB918" w14:textId="78663B80"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Section 87(7) of the Electoral Act, 2010 (as amended)</w:t>
      </w:r>
    </w:p>
  </w:footnote>
  <w:footnote w:id="16">
    <w:p w14:paraId="01A210A2" w14:textId="3DDA95F2"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 xml:space="preserve">Section 156 of the Electoral Act, 2010 (As amended). See also the case of </w:t>
      </w:r>
      <w:r w:rsidRPr="008D55C6">
        <w:rPr>
          <w:rFonts w:ascii="Trebuchet MS" w:hAnsi="Trebuchet MS"/>
          <w:i/>
          <w:sz w:val="20"/>
          <w:szCs w:val="20"/>
        </w:rPr>
        <w:t>Ojukwu v. Obasanjo</w:t>
      </w:r>
      <w:r w:rsidRPr="008D55C6">
        <w:rPr>
          <w:rFonts w:ascii="Trebuchet MS" w:hAnsi="Trebuchet MS"/>
          <w:sz w:val="20"/>
          <w:szCs w:val="20"/>
        </w:rPr>
        <w:t xml:space="preserve"> [2004] 12 NWLR (Pt. 886) 169 at 227, paras. D-E. </w:t>
      </w:r>
    </w:p>
  </w:footnote>
  <w:footnote w:id="17">
    <w:p w14:paraId="22260A62" w14:textId="41A5898D"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See sections 103-116 of the Electoral Act, 2010 (As amended).</w:t>
      </w:r>
    </w:p>
  </w:footnote>
  <w:footnote w:id="18">
    <w:p w14:paraId="65563E19" w14:textId="069AC2FD"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See Lagos State Independent Electoral Commission Law, 2001 and the Local Government Election Tribunal Law, 2001.</w:t>
      </w:r>
    </w:p>
  </w:footnote>
  <w:footnote w:id="19">
    <w:p w14:paraId="491ECED5" w14:textId="7A371270"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Oxford Advanced Learner’s Dictionary of Current English: Seventh Edition, Oxford University Press, 2005, p. 423.</w:t>
      </w:r>
    </w:p>
  </w:footnote>
  <w:footnote w:id="20">
    <w:p w14:paraId="07F5C137" w14:textId="2DCB4B2C"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The Chambers Dictionary, Chambers Harrap Publishers Ltd., 1993. P. 487</w:t>
      </w:r>
    </w:p>
  </w:footnote>
  <w:footnote w:id="21">
    <w:p w14:paraId="5A406FF6" w14:textId="6B0FB3D1"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Black’s Law Dictionary, 8</w:t>
      </w:r>
      <w:r w:rsidRPr="008D55C6">
        <w:rPr>
          <w:rFonts w:ascii="Trebuchet MS" w:hAnsi="Trebuchet MS"/>
          <w:sz w:val="20"/>
          <w:szCs w:val="20"/>
          <w:vertAlign w:val="superscript"/>
        </w:rPr>
        <w:t>th</w:t>
      </w:r>
      <w:r w:rsidRPr="008D55C6">
        <w:rPr>
          <w:rFonts w:ascii="Trebuchet MS" w:hAnsi="Trebuchet MS"/>
          <w:sz w:val="20"/>
          <w:szCs w:val="20"/>
        </w:rPr>
        <w:t xml:space="preserve"> Edition, 2004, p. 505 </w:t>
      </w:r>
    </w:p>
  </w:footnote>
  <w:footnote w:id="22">
    <w:p w14:paraId="5AC15581" w14:textId="54725B26"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Encyclopedia of Wikipedia &lt;</w:t>
      </w:r>
      <w:hyperlink r:id="rId5" w:history="1">
        <w:r w:rsidRPr="008D55C6">
          <w:rPr>
            <w:rStyle w:val="Hyperlink"/>
            <w:rFonts w:ascii="Trebuchet MS" w:hAnsi="Trebuchet MS"/>
            <w:sz w:val="20"/>
            <w:szCs w:val="20"/>
          </w:rPr>
          <w:t>http://en.wikipedia.org/wiki/Dispute_resolution</w:t>
        </w:r>
      </w:hyperlink>
      <w:r w:rsidRPr="008D55C6">
        <w:rPr>
          <w:rFonts w:ascii="Trebuchet MS" w:hAnsi="Trebuchet MS"/>
          <w:sz w:val="20"/>
          <w:szCs w:val="20"/>
        </w:rPr>
        <w:t>&gt; Visited on 10</w:t>
      </w:r>
      <w:r w:rsidRPr="008D55C6">
        <w:rPr>
          <w:rFonts w:ascii="Trebuchet MS" w:hAnsi="Trebuchet MS"/>
          <w:sz w:val="20"/>
          <w:szCs w:val="20"/>
          <w:vertAlign w:val="superscript"/>
        </w:rPr>
        <w:t>th</w:t>
      </w:r>
      <w:r w:rsidRPr="008D55C6">
        <w:rPr>
          <w:rFonts w:ascii="Trebuchet MS" w:hAnsi="Trebuchet MS"/>
          <w:sz w:val="20"/>
          <w:szCs w:val="20"/>
        </w:rPr>
        <w:t xml:space="preserve"> May, 2014 </w:t>
      </w:r>
    </w:p>
  </w:footnote>
  <w:footnote w:id="23">
    <w:p w14:paraId="3491754D" w14:textId="421FB552"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&lt;</w:t>
      </w:r>
      <w:hyperlink r:id="rId6" w:history="1">
        <w:r w:rsidRPr="008D55C6">
          <w:rPr>
            <w:rStyle w:val="Hyperlink"/>
            <w:rFonts w:ascii="Trebuchet MS" w:hAnsi="Trebuchet MS"/>
            <w:sz w:val="20"/>
            <w:szCs w:val="20"/>
          </w:rPr>
          <w:t>http://www.ask.com/question/what-is-dispute-resolution</w:t>
        </w:r>
      </w:hyperlink>
      <w:r w:rsidRPr="008D55C6">
        <w:rPr>
          <w:rFonts w:ascii="Trebuchet MS" w:hAnsi="Trebuchet MS"/>
          <w:sz w:val="20"/>
          <w:szCs w:val="20"/>
        </w:rPr>
        <w:t>&gt; visited on 10</w:t>
      </w:r>
      <w:r w:rsidRPr="008D55C6">
        <w:rPr>
          <w:rFonts w:ascii="Trebuchet MS" w:hAnsi="Trebuchet MS"/>
          <w:sz w:val="20"/>
          <w:szCs w:val="20"/>
          <w:vertAlign w:val="superscript"/>
        </w:rPr>
        <w:t>th</w:t>
      </w:r>
      <w:r w:rsidRPr="008D55C6">
        <w:rPr>
          <w:rFonts w:ascii="Trebuchet MS" w:hAnsi="Trebuchet MS"/>
          <w:sz w:val="20"/>
          <w:szCs w:val="20"/>
        </w:rPr>
        <w:t xml:space="preserve"> May, 2014 </w:t>
      </w:r>
    </w:p>
  </w:footnote>
  <w:footnote w:id="24">
    <w:p w14:paraId="6C3A365B" w14:textId="557BCF92"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Encyclopedia of Wikipedia &lt;</w:t>
      </w:r>
      <w:hyperlink r:id="rId7" w:history="1">
        <w:r w:rsidRPr="008D55C6">
          <w:rPr>
            <w:rStyle w:val="Hyperlink"/>
            <w:rFonts w:ascii="Trebuchet MS" w:hAnsi="Trebuchet MS"/>
            <w:sz w:val="20"/>
            <w:szCs w:val="20"/>
          </w:rPr>
          <w:t>http://en.wikipedia.org/wiki/Dispute_resolution</w:t>
        </w:r>
      </w:hyperlink>
      <w:r w:rsidRPr="008D55C6">
        <w:rPr>
          <w:rFonts w:ascii="Trebuchet MS" w:hAnsi="Trebuchet MS"/>
          <w:sz w:val="20"/>
          <w:szCs w:val="20"/>
        </w:rPr>
        <w:t>&gt; Visited on 10</w:t>
      </w:r>
      <w:r w:rsidRPr="008D55C6">
        <w:rPr>
          <w:rFonts w:ascii="Trebuchet MS" w:hAnsi="Trebuchet MS"/>
          <w:sz w:val="20"/>
          <w:szCs w:val="20"/>
          <w:vertAlign w:val="superscript"/>
        </w:rPr>
        <w:t>th</w:t>
      </w:r>
      <w:r w:rsidRPr="008D55C6">
        <w:rPr>
          <w:rFonts w:ascii="Trebuchet MS" w:hAnsi="Trebuchet MS"/>
          <w:sz w:val="20"/>
          <w:szCs w:val="20"/>
        </w:rPr>
        <w:t xml:space="preserve"> May, 2014.</w:t>
      </w:r>
    </w:p>
  </w:footnote>
  <w:footnote w:id="25">
    <w:p w14:paraId="7246CB0A" w14:textId="09D70A81"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Ibid.</w:t>
      </w:r>
    </w:p>
  </w:footnote>
  <w:footnote w:id="26">
    <w:p w14:paraId="65CD17CC" w14:textId="19BAB103"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ibid.</w:t>
      </w:r>
    </w:p>
  </w:footnote>
  <w:footnote w:id="27">
    <w:p w14:paraId="6EB8DABC" w14:textId="2A2571C5"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M. V. Pylee, Constitutions of the World, 4</w:t>
      </w:r>
      <w:r w:rsidRPr="008D55C6">
        <w:rPr>
          <w:rFonts w:ascii="Trebuchet MS" w:hAnsi="Trebuchet MS"/>
          <w:sz w:val="20"/>
          <w:szCs w:val="20"/>
          <w:vertAlign w:val="superscript"/>
        </w:rPr>
        <w:t>th</w:t>
      </w:r>
      <w:r w:rsidRPr="008D55C6">
        <w:rPr>
          <w:rFonts w:ascii="Trebuchet MS" w:hAnsi="Trebuchet MS"/>
          <w:sz w:val="20"/>
          <w:szCs w:val="20"/>
        </w:rPr>
        <w:t xml:space="preserve"> Edn. (New Delhi: Universal Law Publishing Co. Pvt. Ltd., 2012). Vol. 1, p. xi. </w:t>
      </w:r>
    </w:p>
  </w:footnote>
  <w:footnote w:id="28">
    <w:p w14:paraId="24E45F6E" w14:textId="798A5673"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E. C. S. Wade &amp; A. W. Bradley, Constitutional and Administrative Law, 10</w:t>
      </w:r>
      <w:r w:rsidRPr="008D55C6">
        <w:rPr>
          <w:rFonts w:ascii="Trebuchet MS" w:hAnsi="Trebuchet MS"/>
          <w:sz w:val="20"/>
          <w:szCs w:val="20"/>
          <w:vertAlign w:val="superscript"/>
        </w:rPr>
        <w:t>th</w:t>
      </w:r>
      <w:r w:rsidRPr="008D55C6">
        <w:rPr>
          <w:rFonts w:ascii="Trebuchet MS" w:hAnsi="Trebuchet MS"/>
          <w:sz w:val="20"/>
          <w:szCs w:val="20"/>
        </w:rPr>
        <w:t xml:space="preserve"> Edn. (Longman, London, 1986) 4.</w:t>
      </w:r>
    </w:p>
  </w:footnote>
  <w:footnote w:id="29">
    <w:p w14:paraId="4B9B78D0" w14:textId="4B236958"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Bola Ige, Constitution And The Problem Of Nigeria (Published by Nigerian Institute of Advanced Legal Studies, Lagos, 1995) 2.</w:t>
      </w:r>
    </w:p>
  </w:footnote>
  <w:footnote w:id="30">
    <w:p w14:paraId="411A9265" w14:textId="288D40A4" w:rsidR="00F752A4" w:rsidRPr="008D55C6" w:rsidRDefault="00F752A4" w:rsidP="008D55C6">
      <w:pPr>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 xml:space="preserve">C. A. Obiozor: </w:t>
      </w:r>
      <w:r w:rsidRPr="008D55C6">
        <w:rPr>
          <w:rFonts w:ascii="Trebuchet MS" w:hAnsi="Trebuchet MS"/>
          <w:i/>
          <w:sz w:val="20"/>
          <w:szCs w:val="20"/>
        </w:rPr>
        <w:t>The Constitutional Vesting Of Judicial Powers In The Judicature In Nigeria – The Problem With Section 6(6)(D) Of The Constitution Of 1999</w:t>
      </w:r>
      <w:r w:rsidRPr="008D55C6">
        <w:rPr>
          <w:rFonts w:ascii="Trebuchet MS" w:hAnsi="Trebuchet MS"/>
          <w:sz w:val="20"/>
          <w:szCs w:val="20"/>
        </w:rPr>
        <w:t xml:space="preserve"> (NIALS Law and Development Journal 2010) page 218 &lt;</w:t>
      </w:r>
      <w:hyperlink r:id="rId8" w:history="1">
        <w:r w:rsidRPr="008D55C6">
          <w:rPr>
            <w:rStyle w:val="Hyperlink"/>
            <w:rFonts w:ascii="Trebuchet MS" w:hAnsi="Trebuchet MS"/>
            <w:sz w:val="20"/>
            <w:szCs w:val="20"/>
          </w:rPr>
          <w:t>http://www.nials-nigeria.org/journals/C.%20A.%20Obiozor.pdf</w:t>
        </w:r>
      </w:hyperlink>
      <w:r w:rsidRPr="008D55C6">
        <w:rPr>
          <w:rFonts w:ascii="Trebuchet MS" w:hAnsi="Trebuchet MS"/>
          <w:sz w:val="20"/>
          <w:szCs w:val="20"/>
        </w:rPr>
        <w:t>&gt; last visited on November 13, 2013.</w:t>
      </w:r>
    </w:p>
    <w:p w14:paraId="336F1358" w14:textId="77777777" w:rsidR="00F752A4" w:rsidRPr="008D55C6" w:rsidRDefault="00F752A4" w:rsidP="008D55C6">
      <w:pPr>
        <w:pStyle w:val="FootnoteText"/>
        <w:spacing w:line="360" w:lineRule="auto"/>
        <w:contextualSpacing/>
        <w:jc w:val="both"/>
        <w:rPr>
          <w:rFonts w:ascii="Trebuchet MS" w:hAnsi="Trebuchet MS"/>
          <w:sz w:val="20"/>
          <w:szCs w:val="20"/>
        </w:rPr>
      </w:pPr>
    </w:p>
  </w:footnote>
  <w:footnote w:id="31">
    <w:p w14:paraId="380475E5" w14:textId="4DF5AE17"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Section 285(5) of the 1999 Constitution</w:t>
      </w:r>
    </w:p>
  </w:footnote>
  <w:footnote w:id="32">
    <w:p w14:paraId="6A57841E" w14:textId="65249261"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[2004] 7 NWLR (Pt. 871) 16 at 55, para. E.</w:t>
      </w:r>
    </w:p>
  </w:footnote>
  <w:footnote w:id="33">
    <w:p w14:paraId="5B8B45FA" w14:textId="47106DE7"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 xml:space="preserve">Itse E. Sagay: The Enforcement of Electoral Laws and Case Law of Election Petition Judgments, 2012 (Spectrum Books Limited) 1. </w:t>
      </w:r>
    </w:p>
  </w:footnote>
  <w:footnote w:id="34">
    <w:p w14:paraId="01003B2A" w14:textId="5C550883"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Section 285 (3) of the 1999 Constitution and paragraphs 1(1) and 2(1) of the Sixth Schedule.</w:t>
      </w:r>
    </w:p>
  </w:footnote>
  <w:footnote w:id="35">
    <w:p w14:paraId="60EEEB79" w14:textId="45348260"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Section 285 (3) of the 1999 Constitution and paragraphs 1(2) and 2(2) of the Sixth Schedule.</w:t>
      </w:r>
    </w:p>
  </w:footnote>
  <w:footnote w:id="36">
    <w:p w14:paraId="24DFD6C7" w14:textId="0A7A6F3A"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Section 285(4) of the 1999 Constitution.</w:t>
      </w:r>
    </w:p>
  </w:footnote>
  <w:footnote w:id="37">
    <w:p w14:paraId="6AC65D4F" w14:textId="1609A916"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Section 285(6) of the 1999 Constitution.</w:t>
      </w:r>
    </w:p>
  </w:footnote>
  <w:footnote w:id="38">
    <w:p w14:paraId="470D7D4A" w14:textId="0BA8807F"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Section 285(7) of the 1999 Constitution.</w:t>
      </w:r>
    </w:p>
  </w:footnote>
  <w:footnote w:id="39">
    <w:p w14:paraId="19B49384" w14:textId="5A5630E5"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Which provides thus: “The National Assembly shall have power to make laws for the peace, order and good government of the Federation or any part thereof with respect to any matter included in the Exclusive Legislative list set out in Part 1 of the Second Schedule to this Constitution.”</w:t>
      </w:r>
    </w:p>
  </w:footnote>
  <w:footnote w:id="40">
    <w:p w14:paraId="502557BF" w14:textId="3AA3DFAA"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Which provides thus: “In addition and without prejudice to the powers conferred by subsection (2) of this section, the National Assembly shall have power to make laws with respect to the following matters, that is to say- (a) any matter in the Concurrent Legislative List set out in the first column of Part II of the Second Schedule to this Constitution to the extent prescribed in the second column opposite thereto;”</w:t>
      </w:r>
    </w:p>
  </w:footnote>
  <w:footnote w:id="41">
    <w:p w14:paraId="6E32837B" w14:textId="5F5A1DC7"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Cap. L75, Laws of Lagos State of Nigeria.</w:t>
      </w:r>
    </w:p>
  </w:footnote>
  <w:footnote w:id="42">
    <w:p w14:paraId="05647457" w14:textId="10475667"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Section 1 of the Local Government Tribunal Law</w:t>
      </w:r>
    </w:p>
  </w:footnote>
  <w:footnote w:id="43">
    <w:p w14:paraId="1B93621E" w14:textId="58FED71B"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Section 1(1) of the Local Government Tribunal Law</w:t>
      </w:r>
    </w:p>
  </w:footnote>
  <w:footnote w:id="44">
    <w:p w14:paraId="18E593C8" w14:textId="3FA60F56"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Section 1(2) of the Local Government Tribunal Law</w:t>
      </w:r>
    </w:p>
  </w:footnote>
  <w:footnote w:id="45">
    <w:p w14:paraId="061BA5DD" w14:textId="7B2FCA94"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 xml:space="preserve">Section 1(3) of the Local Government Tribunal Law </w:t>
      </w:r>
    </w:p>
  </w:footnote>
  <w:footnote w:id="46">
    <w:p w14:paraId="78659BE2" w14:textId="62B4386D"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 xml:space="preserve">Section 1(4) of the Local Government Tribunal Law </w:t>
      </w:r>
    </w:p>
  </w:footnote>
  <w:footnote w:id="47">
    <w:p w14:paraId="591D2848" w14:textId="2357EE03"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 xml:space="preserve">Section 2(2) of the Local Government Tribunal Law </w:t>
      </w:r>
    </w:p>
  </w:footnote>
  <w:footnote w:id="48">
    <w:p w14:paraId="55E481CA" w14:textId="1F5E7793"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 xml:space="preserve">Section 2(3) of the Local Government Tribunal Law </w:t>
      </w:r>
    </w:p>
  </w:footnote>
  <w:footnote w:id="49">
    <w:p w14:paraId="0A25FE4F" w14:textId="486873A6"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 xml:space="preserve">Section 14(1) of the Local Government Tribunal Law </w:t>
      </w:r>
    </w:p>
  </w:footnote>
  <w:footnote w:id="50">
    <w:p w14:paraId="20E3B691" w14:textId="55C4F4AE"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 xml:space="preserve">Section 14(2) of the Local Government Tribunal Law </w:t>
      </w:r>
    </w:p>
  </w:footnote>
  <w:footnote w:id="51">
    <w:p w14:paraId="6DC7C496" w14:textId="2528784C"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Local Government Tribunal Law of Lagos State.</w:t>
      </w:r>
    </w:p>
  </w:footnote>
  <w:footnote w:id="52">
    <w:p w14:paraId="10EE8E4B" w14:textId="1C9BBC20"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Section 62 of the Local Government Tribunal Law of Lagos State defines ‘Tribunal’ to mean “an Election Tribunal or an Election Appeal Tribunal”</w:t>
      </w:r>
    </w:p>
  </w:footnote>
  <w:footnote w:id="53">
    <w:p w14:paraId="6EAEFD8B" w14:textId="0DE5D1D8"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Section 54(6) of the Local Government Election Tribunal Law.</w:t>
      </w:r>
    </w:p>
  </w:footnote>
  <w:footnote w:id="54">
    <w:p w14:paraId="7BB84099" w14:textId="7A86AE17"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 xml:space="preserve">Bon Nwakanma and Ngozi Olehi: Laws Governing Elections and Election Petitions, (Edu-Edy Publications, 2007), p. 64 </w:t>
      </w:r>
    </w:p>
  </w:footnote>
  <w:footnote w:id="55">
    <w:p w14:paraId="4EE739E5" w14:textId="1BD19C46"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r>
      <w:r w:rsidRPr="008D55C6">
        <w:rPr>
          <w:rFonts w:ascii="Trebuchet MS" w:hAnsi="Trebuchet MS"/>
          <w:spacing w:val="20"/>
          <w:sz w:val="20"/>
          <w:szCs w:val="20"/>
        </w:rPr>
        <w:t>[1983] N.S.C.C. 494.</w:t>
      </w:r>
    </w:p>
  </w:footnote>
  <w:footnote w:id="56">
    <w:p w14:paraId="114D869E" w14:textId="5364DCE8"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Ibid at 504, lines 7-29.</w:t>
      </w:r>
    </w:p>
  </w:footnote>
  <w:footnote w:id="57">
    <w:p w14:paraId="7F6BF896" w14:textId="1B8E001B"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[2003] 15 NWLR (Pt. 843) 310</w:t>
      </w:r>
    </w:p>
  </w:footnote>
  <w:footnote w:id="58">
    <w:p w14:paraId="38EB91ED" w14:textId="31A6D7C9"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[2011] 12 S.C. (Pt. III) 113</w:t>
      </w:r>
    </w:p>
  </w:footnote>
  <w:footnote w:id="59">
    <w:p w14:paraId="173052B2" w14:textId="68B11AE6"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Ibid at 138-139, lines 26-4.</w:t>
      </w:r>
    </w:p>
  </w:footnote>
  <w:footnote w:id="60">
    <w:p w14:paraId="646A98EA" w14:textId="6D61E46F"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Ibid at 140, lines 18-30.</w:t>
      </w:r>
    </w:p>
  </w:footnote>
  <w:footnote w:id="61">
    <w:p w14:paraId="79DAC7F2" w14:textId="5F857254"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[2008] 5 NWLR (Pt. 1080) 227.</w:t>
      </w:r>
    </w:p>
  </w:footnote>
  <w:footnote w:id="62">
    <w:p w14:paraId="3571AF3F" w14:textId="1D7FF209"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[2007] 12 NWLR (Pt. 1048) 220.</w:t>
      </w:r>
    </w:p>
  </w:footnote>
  <w:footnote w:id="63">
    <w:p w14:paraId="07BA9934" w14:textId="5074FDDD"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Section 34 of the Electoral Act, 2006 states as follows: “(1) A political party intending to change any of its candidates for any election shall inform the Commission of such change in writing not later than 60 days to the election. (2)</w:t>
      </w:r>
      <w:r w:rsidRPr="008D55C6">
        <w:rPr>
          <w:rFonts w:ascii="Trebuchet MS" w:eastAsiaTheme="minorHAnsi" w:hAnsi="Trebuchet MS"/>
          <w:sz w:val="20"/>
          <w:szCs w:val="20"/>
        </w:rPr>
        <w:t xml:space="preserve"> </w:t>
      </w:r>
      <w:r w:rsidRPr="008D55C6">
        <w:rPr>
          <w:rFonts w:ascii="Trebuchet MS" w:hAnsi="Trebuchet MS"/>
          <w:sz w:val="20"/>
          <w:szCs w:val="20"/>
        </w:rPr>
        <w:t>Any Application made pursuant to subsection (1) of this section shall give cogent and verifiable reasons. (3)</w:t>
      </w:r>
      <w:r w:rsidRPr="008D55C6">
        <w:rPr>
          <w:rFonts w:ascii="Trebuchet MS" w:eastAsiaTheme="minorHAnsi" w:hAnsi="Trebuchet MS"/>
          <w:sz w:val="20"/>
          <w:szCs w:val="20"/>
        </w:rPr>
        <w:t xml:space="preserve"> </w:t>
      </w:r>
      <w:r w:rsidRPr="008D55C6">
        <w:rPr>
          <w:rFonts w:ascii="Trebuchet MS" w:hAnsi="Trebuchet MS"/>
          <w:sz w:val="20"/>
          <w:szCs w:val="20"/>
        </w:rPr>
        <w:t>Except in the case of death, there shall be no substitution or replacement of any candidate whatsoever after the date referred to in subsection (1) of this section”</w:t>
      </w:r>
    </w:p>
  </w:footnote>
  <w:footnote w:id="64">
    <w:p w14:paraId="3C164D3C" w14:textId="333BE2C6"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Supra, p. 484, paragraph B-E.</w:t>
      </w:r>
    </w:p>
  </w:footnote>
  <w:footnote w:id="65">
    <w:p w14:paraId="7CD799AB" w14:textId="2D926A12"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Supra, p. 317, paragraph B-D.</w:t>
      </w:r>
    </w:p>
  </w:footnote>
  <w:footnote w:id="66">
    <w:p w14:paraId="75159D15" w14:textId="4F0BA168"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Section 33 of the Electoral Act, 2010 (as amended) which states that “ A political party shall not be allowed to change or substitute its candidate whose name has been submitted to section 32 of this Act, except in the case of death or withdrawal by the candidate.”</w:t>
      </w:r>
    </w:p>
  </w:footnote>
  <w:footnote w:id="67">
    <w:p w14:paraId="7C5F3B92" w14:textId="742885AF"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Section 258 (5) of the 1999 Constitution. See sections 2(2) and 2(3) of the Local Government Election Tribunal Law. Cap. L75, Laws of Lagos State of Nigeria that also require the filing of an election petition within 21 days from the date of declaration of result or 21 days from the date the registry of the Local Government Election Tribunal was opened.</w:t>
      </w:r>
    </w:p>
  </w:footnote>
  <w:footnote w:id="68">
    <w:p w14:paraId="3B5AB5B0" w14:textId="47D2CD05"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Section 137(1) of the Electoral Act, 2010 (as amended). Section 3(1) of the Local Government Election Tribunal Law, 2001 is similar to section 137(1) of the Electoral Act, 2010 (as amended) except that a ‘person claiming to have had a right to contest or be returned at an election’ could also present an election petition before the Local Government Election Tribunal.</w:t>
      </w:r>
    </w:p>
  </w:footnote>
  <w:footnote w:id="69">
    <w:p w14:paraId="635B2E3F" w14:textId="4DD38CF1"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Section 137(2) of the Electoral Act, 2010 (as amended). The first part of Section 3(2) of the Local Government Election Tribunal Law, 2001 is the equivalent provision of section 137(2) of the Electoral Act 2010 (as amended).</w:t>
      </w:r>
    </w:p>
  </w:footnote>
  <w:footnote w:id="70">
    <w:p w14:paraId="62E7A6FF" w14:textId="4B03F068"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Section 137(3) of the Electoral Act, 2010 (as amended)</w:t>
      </w:r>
    </w:p>
  </w:footnote>
  <w:footnote w:id="71">
    <w:p w14:paraId="33C2C22D" w14:textId="0E4B2522"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Section 4 of the Local Government Election Tribunal Law.</w:t>
      </w:r>
    </w:p>
  </w:footnote>
  <w:footnote w:id="72">
    <w:p w14:paraId="1E31F770" w14:textId="6C0E694D"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 xml:space="preserve">In </w:t>
      </w:r>
      <w:r w:rsidRPr="008D55C6">
        <w:rPr>
          <w:rFonts w:ascii="Trebuchet MS" w:hAnsi="Trebuchet MS"/>
          <w:i/>
          <w:sz w:val="20"/>
          <w:szCs w:val="20"/>
        </w:rPr>
        <w:t>Abubakar v. Yar’Adua</w:t>
      </w:r>
      <w:r w:rsidRPr="008D55C6">
        <w:rPr>
          <w:rFonts w:ascii="Trebuchet MS" w:hAnsi="Trebuchet MS"/>
          <w:sz w:val="20"/>
          <w:szCs w:val="20"/>
        </w:rPr>
        <w:t xml:space="preserve"> [2009] All FWLR (Pt. 457) 1 at 79, Katsina-Alu, JSC held thus: “</w:t>
      </w:r>
      <w:r w:rsidRPr="008D55C6">
        <w:rPr>
          <w:rFonts w:ascii="Trebuchet MS" w:hAnsi="Trebuchet MS"/>
          <w:i/>
          <w:sz w:val="20"/>
          <w:szCs w:val="20"/>
        </w:rPr>
        <w:t>A careful reading of section 145(1) would reveal that a petition under subsection (1)(a)(b) &amp; (c) does presuppose that the petitioner did in fact participate in the election as a contestant. Whereas a petition under subsection (1)(d) does presuppose that the petitioner was excluded from participating in the election as a contestant. I should imagine that a petitioner who did not contest the election would not be heard to complain that the election was invalid by reason of corrupt practices or non-compliance with the provisions of the Electoral Act or that the respondent was not duly elected by majority of lawful votes cast at the election (sic). See also the case of ANPP v. Haruna (2003) 14 NWLR (Pt. 841) 546 at 570. I think it is plain that the ground provided under section 145(1)(d) of the Electoral Act relating to exclusion of a candidate from contesting the election and the three other grounds provided under the same section 145(a)(b) and (c) relating to disqualification of a candidate who was returned, corrupt practices and non-compliance with the provisions of the Act and failure to secure majority of lawful votes cast at the election are mutually exclusive. Therefore a candidate who did not contest an election cannot legally and logically complain that the election was marred by rigging, corrupt practices, non-compliance with the provisions of the Electoral Act.</w:t>
      </w:r>
      <w:r w:rsidRPr="008D55C6">
        <w:rPr>
          <w:rFonts w:ascii="Trebuchet MS" w:hAnsi="Trebuchet MS"/>
          <w:sz w:val="20"/>
          <w:szCs w:val="20"/>
        </w:rPr>
        <w:t xml:space="preserve"> </w:t>
      </w:r>
      <w:r w:rsidRPr="008D55C6">
        <w:rPr>
          <w:rFonts w:ascii="Trebuchet MS" w:hAnsi="Trebuchet MS"/>
          <w:i/>
          <w:sz w:val="20"/>
          <w:szCs w:val="20"/>
        </w:rPr>
        <w:t>The effect in law of a petitioner claiming exclusion under section 145(1)(d) of the Act, is that he has shut himself out from presenting his petition under any of the grounds stipulated in section 145(1)(a) and (c), as none of the grounds can still avail him. This is so because the effect of the exclusion ground, if successful, would render the election void and fresh election would be ordered pursuant to section 147(1) of the Electoral Act, 2006.</w:t>
      </w:r>
      <w:r w:rsidRPr="008D55C6">
        <w:rPr>
          <w:rFonts w:ascii="Trebuchet MS" w:hAnsi="Trebuchet MS"/>
          <w:sz w:val="20"/>
          <w:szCs w:val="20"/>
        </w:rPr>
        <w:t xml:space="preserve"> </w:t>
      </w:r>
      <w:r w:rsidRPr="008D55C6">
        <w:rPr>
          <w:rFonts w:ascii="Trebuchet MS" w:hAnsi="Trebuchet MS"/>
          <w:i/>
          <w:sz w:val="20"/>
          <w:szCs w:val="20"/>
        </w:rPr>
        <w:t>Clearly, it will be seen that the ground of unlawful exclusion cannot stand with any other ground as presented in the instant petition. This would be tantamount to approbating and reprobating which the law frowns at.”</w:t>
      </w:r>
      <w:r w:rsidRPr="008D55C6">
        <w:rPr>
          <w:rFonts w:ascii="Trebuchet MS" w:hAnsi="Trebuchet MS"/>
          <w:sz w:val="20"/>
          <w:szCs w:val="20"/>
        </w:rPr>
        <w:t xml:space="preserve"> </w:t>
      </w:r>
    </w:p>
  </w:footnote>
  <w:footnote w:id="73">
    <w:p w14:paraId="4CC028DB" w14:textId="6AE7A1C4"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 xml:space="preserve">Paragraph 4(1) of the First Schedule to the Electoral Act, 2010 (as amended). Aside from the first content of an election petition (i.e. paragraph 4(1)(a) of the First Schedule to the Electoral Act, 2010 (as amended), the remaining three contents are similar to the content of an election petition in section 17 of the Local Government Election Tribunal Law of Lagos State.  </w:t>
      </w:r>
    </w:p>
  </w:footnote>
  <w:footnote w:id="74">
    <w:p w14:paraId="396B758C" w14:textId="520AEDE9"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Paragraph 4(5) of the First Schedule to the Electoral Act, 2010 (as amended)</w:t>
      </w:r>
    </w:p>
  </w:footnote>
  <w:footnote w:id="75">
    <w:p w14:paraId="7802E975" w14:textId="619A4A28"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Paragraph 4(6) of the First Schedule to the Electoral Act, 2010 (as amended)</w:t>
      </w:r>
    </w:p>
  </w:footnote>
  <w:footnote w:id="76">
    <w:p w14:paraId="262E40A6" w14:textId="68E52E4A"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Made by the President of the Court of Appeal pursuant to section 285 of the 1999 Constitution, Section 8(2) of the Court of Appeal Act, 1976 and section 149 of the Electoral Act, 2006 No. 2.</w:t>
      </w:r>
    </w:p>
  </w:footnote>
  <w:footnote w:id="77">
    <w:p w14:paraId="046FEE14" w14:textId="52F92DB9"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Paragraph 2(1) of the First Schedule to the Electoral Act, 2010 (as amended). Section 15 of the Local Government Election Tribunal Law, 2001</w:t>
      </w:r>
    </w:p>
  </w:footnote>
  <w:footnote w:id="78">
    <w:p w14:paraId="170BFAB2" w14:textId="64363849"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Paragraph 12(1) of the First Schedule to the Electoral Act, 2010 (as amended). Section 25(1) of the Local Government Election Tribunal Law requires the respondent to file his reply within 3 days of entering an appearance or seven days or 7 days from the date of receipt of an election petition.</w:t>
      </w:r>
    </w:p>
  </w:footnote>
  <w:footnote w:id="79">
    <w:p w14:paraId="36A45709" w14:textId="0F1A4594"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 xml:space="preserve">Section 31(5) of the Electoral Act, 2010 (as amended) </w:t>
      </w:r>
    </w:p>
  </w:footnote>
  <w:footnote w:id="80">
    <w:p w14:paraId="1D84A9FC" w14:textId="6EA831AE"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Section 31(6) of the Electoral Act, 2010 (as amended)</w:t>
      </w:r>
    </w:p>
  </w:footnote>
  <w:footnote w:id="81">
    <w:p w14:paraId="51E55286" w14:textId="61989D0C"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Section 87(9) of the Electoral Act, 2010 (as amended)</w:t>
      </w:r>
    </w:p>
  </w:footnote>
  <w:footnote w:id="82">
    <w:p w14:paraId="530205E2" w14:textId="3C7706C6"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[2010] All FWLR (Pt. 539) 1007.</w:t>
      </w:r>
    </w:p>
  </w:footnote>
  <w:footnote w:id="83">
    <w:p w14:paraId="7C653295" w14:textId="0E8189C7"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Supra, p. 1046.</w:t>
      </w:r>
    </w:p>
  </w:footnote>
  <w:footnote w:id="84">
    <w:p w14:paraId="64439BF0" w14:textId="1A569419"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[2013] 6 NWLR (Pt. 1351) 501 at 524-525, paras. H-C.</w:t>
      </w:r>
    </w:p>
  </w:footnote>
  <w:footnote w:id="85">
    <w:p w14:paraId="3F64280E" w14:textId="067C3C08"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Itse E. Sagay (Supra) 2.</w:t>
      </w:r>
    </w:p>
  </w:footnote>
  <w:footnote w:id="86">
    <w:p w14:paraId="059D2570" w14:textId="6717B42E"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[2009] 8 NWLR (Pt. 1143) 297 at 319, paras. D-F.</w:t>
      </w:r>
    </w:p>
  </w:footnote>
  <w:footnote w:id="87">
    <w:p w14:paraId="2C43A89D" w14:textId="1368282C"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First Schedule to the Electoral Act, 2010 (as amended)</w:t>
      </w:r>
    </w:p>
  </w:footnote>
  <w:footnote w:id="88">
    <w:p w14:paraId="698E81D6" w14:textId="1DD9E333"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First Schedule to the Electoral Act, 2010 (as amended)</w:t>
      </w:r>
    </w:p>
  </w:footnote>
  <w:footnote w:id="89">
    <w:p w14:paraId="390839C6" w14:textId="4AEDCC61"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[2008] 12 NWLR (Pt. 1100) 142.</w:t>
      </w:r>
    </w:p>
  </w:footnote>
  <w:footnote w:id="90">
    <w:p w14:paraId="3AAA14AF" w14:textId="1FC68F90"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Election Tribunal and Court’s Practice Directions, 2007.</w:t>
      </w:r>
    </w:p>
  </w:footnote>
  <w:footnote w:id="91">
    <w:p w14:paraId="23944DC7" w14:textId="1F7E577D"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[2008] 12 NWLR (Pt. 1100) 142 at 159, para. F and 164, paras D-E.</w:t>
      </w:r>
    </w:p>
  </w:footnote>
  <w:footnote w:id="92">
    <w:p w14:paraId="4FB390F2" w14:textId="4CEF1786"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[2011] 13 NWLR (Pt. 1263) 81 at 123, paras. C-E.</w:t>
      </w:r>
    </w:p>
  </w:footnote>
  <w:footnote w:id="93">
    <w:p w14:paraId="73DB60AB" w14:textId="0B66439A"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First Schedule to the Electoral Act, 2010 (as amended)</w:t>
      </w:r>
    </w:p>
  </w:footnote>
  <w:footnote w:id="94">
    <w:p w14:paraId="223F43A9" w14:textId="058AA0DF"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 xml:space="preserve">[2012] 1 NWLR (Pt. 1282) 560 at 611, paras. E- F. See also the case of </w:t>
      </w:r>
      <w:r w:rsidRPr="008D55C6">
        <w:rPr>
          <w:rFonts w:ascii="Trebuchet MS" w:hAnsi="Trebuchet MS"/>
          <w:i/>
          <w:sz w:val="20"/>
          <w:szCs w:val="20"/>
        </w:rPr>
        <w:t>Awojobi v. I.N.E.C</w:t>
      </w:r>
      <w:r w:rsidRPr="008D55C6">
        <w:rPr>
          <w:rFonts w:ascii="Trebuchet MS" w:hAnsi="Trebuchet MS"/>
          <w:sz w:val="20"/>
          <w:szCs w:val="20"/>
        </w:rPr>
        <w:t>. [2012] 8 NWLR (Pt. 1303) 528 at 554, paras. A-C.</w:t>
      </w:r>
    </w:p>
  </w:footnote>
  <w:footnote w:id="95">
    <w:p w14:paraId="742C37D9" w14:textId="38EBC9F0"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[2013] 4 NWLR (Pt. 1345) 486 at 492-493, paras H-A.</w:t>
      </w:r>
    </w:p>
  </w:footnote>
  <w:footnote w:id="96">
    <w:p w14:paraId="0CF0435A" w14:textId="48AED354"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First Schedule to the Electoral Act, 2010 (as amended)</w:t>
      </w:r>
    </w:p>
  </w:footnote>
  <w:footnote w:id="97">
    <w:p w14:paraId="471CA04E" w14:textId="1DD69A84"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[2012] 17 NWLR (Pt. 1330) 523 at 563-564, paras. E-E.</w:t>
      </w:r>
    </w:p>
  </w:footnote>
  <w:footnote w:id="98">
    <w:p w14:paraId="2A925A0A" w14:textId="4CF27200"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[2013] 4 NWLR (Pt. 1345) 427</w:t>
      </w:r>
    </w:p>
  </w:footnote>
  <w:footnote w:id="99">
    <w:p w14:paraId="5BDEEE01" w14:textId="0C0C3EBF"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[2012] 7 NWLR (Pt. 1298) 174.</w:t>
      </w:r>
    </w:p>
  </w:footnote>
  <w:footnote w:id="100">
    <w:p w14:paraId="1CA8AF9A" w14:textId="4CCFE992"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r>
      <w:r w:rsidRPr="008D55C6">
        <w:rPr>
          <w:rFonts w:ascii="Trebuchet MS" w:hAnsi="Trebuchet MS"/>
          <w:i/>
          <w:sz w:val="20"/>
          <w:szCs w:val="20"/>
        </w:rPr>
        <w:t>Haruna v. Modibbo</w:t>
      </w:r>
      <w:r w:rsidRPr="008D55C6">
        <w:rPr>
          <w:rFonts w:ascii="Trebuchet MS" w:hAnsi="Trebuchet MS"/>
          <w:sz w:val="20"/>
          <w:szCs w:val="20"/>
        </w:rPr>
        <w:t xml:space="preserve"> [2004] 16 NWLR (Pt. 900) 487 at 535, paras. F-A.</w:t>
      </w:r>
    </w:p>
  </w:footnote>
  <w:footnote w:id="101">
    <w:p w14:paraId="5F3F45A7" w14:textId="5F406B1E"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Supra at p. 591.</w:t>
      </w:r>
    </w:p>
  </w:footnote>
  <w:footnote w:id="102">
    <w:p w14:paraId="626C984A" w14:textId="455A3903"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r>
      <w:r w:rsidRPr="008D55C6">
        <w:rPr>
          <w:rFonts w:ascii="Trebuchet MS" w:hAnsi="Trebuchet MS"/>
          <w:i/>
          <w:sz w:val="20"/>
          <w:szCs w:val="20"/>
        </w:rPr>
        <w:t>University of Lagos v. Aigoro</w:t>
      </w:r>
      <w:r w:rsidRPr="008D55C6">
        <w:rPr>
          <w:rFonts w:ascii="Trebuchet MS" w:hAnsi="Trebuchet MS"/>
          <w:sz w:val="20"/>
          <w:szCs w:val="20"/>
        </w:rPr>
        <w:t xml:space="preserve">  [1984] N.S.C.C. Vol., 15, 745 at 755-756.</w:t>
      </w:r>
    </w:p>
  </w:footnote>
  <w:footnote w:id="103">
    <w:p w14:paraId="2D820B7C" w14:textId="3149FD22"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[2010] 13 NWLR (Pt. 1212) 456 at 512, paras. A-C.</w:t>
      </w:r>
    </w:p>
  </w:footnote>
  <w:footnote w:id="104">
    <w:p w14:paraId="55066581" w14:textId="7E80E168"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SC/332/2012</w:t>
      </w:r>
    </w:p>
  </w:footnote>
  <w:footnote w:id="105">
    <w:p w14:paraId="4726C334" w14:textId="6AC43637"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r>
      <w:r w:rsidRPr="008D55C6">
        <w:rPr>
          <w:rFonts w:ascii="Trebuchet MS" w:hAnsi="Trebuchet MS"/>
          <w:i/>
          <w:sz w:val="20"/>
          <w:szCs w:val="20"/>
        </w:rPr>
        <w:t>Chime v. Ezea</w:t>
      </w:r>
      <w:r w:rsidRPr="008D55C6">
        <w:rPr>
          <w:rFonts w:ascii="Trebuchet MS" w:hAnsi="Trebuchet MS"/>
          <w:sz w:val="20"/>
          <w:szCs w:val="20"/>
        </w:rPr>
        <w:t xml:space="preserve"> [2009] 2 NWLR (Pt. 1125) 263 at 358, paras. B-D.</w:t>
      </w:r>
    </w:p>
  </w:footnote>
  <w:footnote w:id="106">
    <w:p w14:paraId="3BA24C15" w14:textId="0460DECF"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[2005] 19 NWLR (Pt. 959) 130 at 142-143, paras. G-A.</w:t>
      </w:r>
    </w:p>
  </w:footnote>
  <w:footnote w:id="107">
    <w:p w14:paraId="2E12114F" w14:textId="13506FC3"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r>
      <w:r w:rsidRPr="008D55C6">
        <w:rPr>
          <w:rFonts w:ascii="Trebuchet MS" w:hAnsi="Trebuchet MS"/>
          <w:i/>
          <w:sz w:val="20"/>
          <w:szCs w:val="20"/>
        </w:rPr>
        <w:t>Omidiran v. Etteh</w:t>
      </w:r>
      <w:r w:rsidRPr="008D55C6">
        <w:rPr>
          <w:rFonts w:ascii="Trebuchet MS" w:hAnsi="Trebuchet MS"/>
          <w:sz w:val="20"/>
          <w:szCs w:val="20"/>
        </w:rPr>
        <w:t xml:space="preserve"> [2011] 2 NWLR (Pt. 1232) 471 at 501, paras. A-B.</w:t>
      </w:r>
    </w:p>
  </w:footnote>
  <w:footnote w:id="108">
    <w:p w14:paraId="2A997DA4" w14:textId="0FDC4709"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[2012] 13 NWLR (Pt. 1317) 330 at 361, paras. F-H.</w:t>
      </w:r>
    </w:p>
  </w:footnote>
  <w:footnote w:id="109">
    <w:p w14:paraId="4D4517B4" w14:textId="109DEAC8"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[2009] 2 NWLR (Pt. 1125) 263 at 380, paras. B-D.</w:t>
      </w:r>
    </w:p>
  </w:footnote>
  <w:footnote w:id="110">
    <w:p w14:paraId="5369FE90" w14:textId="1544AB36"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 xml:space="preserve">See the case of </w:t>
      </w:r>
      <w:r w:rsidRPr="008D55C6">
        <w:rPr>
          <w:rFonts w:ascii="Trebuchet MS" w:hAnsi="Trebuchet MS"/>
          <w:i/>
          <w:sz w:val="20"/>
          <w:szCs w:val="20"/>
        </w:rPr>
        <w:t>Saidu v. Abubakar</w:t>
      </w:r>
      <w:r w:rsidRPr="008D55C6">
        <w:rPr>
          <w:rFonts w:ascii="Trebuchet MS" w:hAnsi="Trebuchet MS"/>
          <w:sz w:val="20"/>
          <w:szCs w:val="20"/>
        </w:rPr>
        <w:t xml:space="preserve"> [2008] 12 NWLR (Pt. 1100) 201 at 301, para. B;  </w:t>
      </w:r>
    </w:p>
  </w:footnote>
  <w:footnote w:id="111">
    <w:p w14:paraId="40786B90" w14:textId="06690512"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r>
      <w:r w:rsidRPr="008D55C6">
        <w:rPr>
          <w:rFonts w:ascii="Trebuchet MS" w:hAnsi="Trebuchet MS"/>
          <w:sz w:val="20"/>
          <w:szCs w:val="20"/>
          <w:lang w:val="en-GB"/>
        </w:rPr>
        <w:t>[2008] 2 NWLR (pt. 1071) 378 at 410-411, para. H-B, Ogbuagu JSC</w:t>
      </w:r>
      <w:r w:rsidRPr="008D55C6">
        <w:rPr>
          <w:rFonts w:ascii="Trebuchet MS" w:hAnsi="Trebuchet MS"/>
          <w:b/>
          <w:sz w:val="20"/>
          <w:szCs w:val="20"/>
          <w:lang w:val="en-GB"/>
        </w:rPr>
        <w:t xml:space="preserve"> </w:t>
      </w:r>
      <w:r w:rsidRPr="008D55C6">
        <w:rPr>
          <w:rFonts w:ascii="Trebuchet MS" w:hAnsi="Trebuchet MS"/>
          <w:sz w:val="20"/>
          <w:szCs w:val="20"/>
          <w:lang w:val="en-GB"/>
        </w:rPr>
        <w:t>held thus:</w:t>
      </w:r>
    </w:p>
    <w:p w14:paraId="3553941C" w14:textId="66C341AF" w:rsidR="00F752A4" w:rsidRPr="008D55C6" w:rsidRDefault="00F752A4" w:rsidP="008D55C6">
      <w:pPr>
        <w:pStyle w:val="FootnoteText"/>
        <w:spacing w:line="360" w:lineRule="auto"/>
        <w:ind w:left="720"/>
        <w:contextualSpacing/>
        <w:jc w:val="both"/>
        <w:rPr>
          <w:rFonts w:ascii="Trebuchet MS" w:hAnsi="Trebuchet MS"/>
          <w:sz w:val="20"/>
          <w:szCs w:val="20"/>
        </w:rPr>
      </w:pPr>
      <w:r w:rsidRPr="008D55C6">
        <w:rPr>
          <w:rFonts w:ascii="Trebuchet MS" w:hAnsi="Trebuchet MS"/>
          <w:sz w:val="20"/>
          <w:szCs w:val="20"/>
          <w:lang w:val="en-GB"/>
        </w:rPr>
        <w:t xml:space="preserve">“Documentary evidence in this matter, is crucial. There is therefore, in fact, speaking for myself, no need for any oral evidence which may amount to giving evidence in respect of the contents of a document or documents. </w:t>
      </w:r>
      <w:r w:rsidRPr="008D55C6">
        <w:rPr>
          <w:rFonts w:ascii="Trebuchet MS" w:hAnsi="Trebuchet MS"/>
          <w:sz w:val="20"/>
          <w:szCs w:val="20"/>
          <w:u w:val="single"/>
          <w:lang w:val="en-GB"/>
        </w:rPr>
        <w:t xml:space="preserve">This is because of the settled law firstly, that prima facie oral evidence will not be admitted to prove, vary or alter or add to the term of any contract which has been reduced into writing when the document is in existence except the document itself. See the cases of </w:t>
      </w:r>
      <w:r w:rsidRPr="008D55C6">
        <w:rPr>
          <w:rFonts w:ascii="Trebuchet MS" w:hAnsi="Trebuchet MS"/>
          <w:i/>
          <w:sz w:val="20"/>
          <w:szCs w:val="20"/>
          <w:u w:val="single"/>
          <w:lang w:val="en-GB"/>
        </w:rPr>
        <w:t>Da Rocha v. Hussain</w:t>
      </w:r>
      <w:r w:rsidRPr="008D55C6">
        <w:rPr>
          <w:rFonts w:ascii="Trebuchet MS" w:hAnsi="Trebuchet MS"/>
          <w:sz w:val="20"/>
          <w:szCs w:val="20"/>
          <w:u w:val="single"/>
          <w:lang w:val="en-GB"/>
        </w:rPr>
        <w:t xml:space="preserve"> (1958) 3 FSC 89 at 92; (1958) SCNLR 280 and </w:t>
      </w:r>
      <w:r w:rsidRPr="008D55C6">
        <w:rPr>
          <w:rFonts w:ascii="Trebuchet MS" w:hAnsi="Trebuchet MS"/>
          <w:i/>
          <w:sz w:val="20"/>
          <w:szCs w:val="20"/>
          <w:u w:val="single"/>
          <w:lang w:val="en-GB"/>
        </w:rPr>
        <w:t>S.C.O.A. (Nig.) Ltd. v. Bourdek Ltd.</w:t>
      </w:r>
      <w:r w:rsidRPr="008D55C6">
        <w:rPr>
          <w:rFonts w:ascii="Trebuchet MS" w:hAnsi="Trebuchet MS"/>
          <w:sz w:val="20"/>
          <w:szCs w:val="20"/>
          <w:u w:val="single"/>
          <w:lang w:val="en-GB"/>
        </w:rPr>
        <w:t xml:space="preserve"> (1990) 3 NWLR (Pt. 138) 380 at 389 and many others. Secondly, documentary evidence it is settled, is the Best evidence.</w:t>
      </w:r>
      <w:r w:rsidRPr="008D55C6">
        <w:rPr>
          <w:rFonts w:ascii="Trebuchet MS" w:hAnsi="Trebuchet MS"/>
          <w:sz w:val="20"/>
          <w:szCs w:val="20"/>
          <w:lang w:val="en-GB"/>
        </w:rPr>
        <w:t>”</w:t>
      </w:r>
    </w:p>
  </w:footnote>
  <w:footnote w:id="112">
    <w:p w14:paraId="2D0A3F95" w14:textId="05F43DD6"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[2009] 13 NWLR (Pt. 1159) 445 at 469, para. G-H.</w:t>
      </w:r>
    </w:p>
  </w:footnote>
  <w:footnote w:id="113">
    <w:p w14:paraId="1313C082" w14:textId="05F4FA5C"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[2009] 18 NWLR (Pt. 1173) 299 at 327, para. B.</w:t>
      </w:r>
    </w:p>
  </w:footnote>
  <w:footnote w:id="114">
    <w:p w14:paraId="5C6C3306" w14:textId="22355711"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[2012] 11 NWLR (Pt. 1311) 218 at 233, para. B.</w:t>
      </w:r>
    </w:p>
  </w:footnote>
  <w:footnote w:id="115">
    <w:p w14:paraId="4F89390D" w14:textId="7359F121"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[2012] 13 NWLR (Pt. 1317) 330 at 360, paras. E-H.</w:t>
      </w:r>
    </w:p>
  </w:footnote>
  <w:footnote w:id="116">
    <w:p w14:paraId="5B9D3003" w14:textId="5C84638A"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[2010] 13 NWLR (Pt. 1212) 549 at 596, paras G-H.</w:t>
      </w:r>
    </w:p>
  </w:footnote>
  <w:footnote w:id="117">
    <w:p w14:paraId="3076605F" w14:textId="5DEB9C58"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[2008] 12 NWLR (Pt. 1100) 1 at 89, paras. E-H.</w:t>
      </w:r>
    </w:p>
  </w:footnote>
  <w:footnote w:id="118">
    <w:p w14:paraId="21685777" w14:textId="32D9B56F"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[2009] 2 NWLR (Pt. 1125) 263 at 380, para. F.</w:t>
      </w:r>
    </w:p>
  </w:footnote>
  <w:footnote w:id="119">
    <w:p w14:paraId="606A612B" w14:textId="65123884"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Section 285(6) of the 1999 Constitution.</w:t>
      </w:r>
    </w:p>
  </w:footnote>
  <w:footnote w:id="120">
    <w:p w14:paraId="0B699486" w14:textId="070F0DF4"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[2012] 2 NWLR (Pt. 1391) 211 at 245, paras. B-D.</w:t>
      </w:r>
    </w:p>
  </w:footnote>
  <w:footnote w:id="121">
    <w:p w14:paraId="5E8808FC" w14:textId="6796EFA1"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Meaning that the law does not command the doing of an impossible task.</w:t>
      </w:r>
    </w:p>
  </w:footnote>
  <w:footnote w:id="122">
    <w:p w14:paraId="00D63210" w14:textId="2473D0DA"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[2001] 13 NWLR (Pt. 731) 540 at 559, paras. G-H.</w:t>
      </w:r>
    </w:p>
  </w:footnote>
  <w:footnote w:id="123">
    <w:p w14:paraId="585038C8" w14:textId="0A1FFB1D"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[2013] 4 NWLR (Pt. 1345) 427</w:t>
      </w:r>
    </w:p>
  </w:footnote>
  <w:footnote w:id="124">
    <w:p w14:paraId="229E3DD8" w14:textId="07F138B1"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[2012] 7 NWLR (Pt. 1298) 174.</w:t>
      </w:r>
    </w:p>
  </w:footnote>
  <w:footnote w:id="125">
    <w:p w14:paraId="1800CD57" w14:textId="27221C5F"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[2011] 9 NWLR (Pt. 1253) 458.</w:t>
      </w:r>
    </w:p>
  </w:footnote>
  <w:footnote w:id="126">
    <w:p w14:paraId="46E5DD11" w14:textId="6683469E"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[2009] 7 NWLR (Pt. 1140) 342.</w:t>
      </w:r>
    </w:p>
  </w:footnote>
  <w:footnote w:id="127">
    <w:p w14:paraId="2A3F0552" w14:textId="5539045F"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[2009] 7 NWLR (Pt. 1140) 223 and [2010] 17 NWLR (Pt. 1222) 326</w:t>
      </w:r>
    </w:p>
  </w:footnote>
  <w:footnote w:id="128">
    <w:p w14:paraId="6892A40A" w14:textId="07699CB6"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See The News (Vol. 31, No. 01, 14 July, 2008) titled; “</w:t>
      </w:r>
      <w:r w:rsidRPr="008D55C6">
        <w:rPr>
          <w:rFonts w:ascii="Trebuchet MS" w:hAnsi="Trebuchet MS"/>
          <w:i/>
          <w:sz w:val="20"/>
          <w:szCs w:val="20"/>
        </w:rPr>
        <w:t>The Scandal of Judges: How Osun Tribunal was compromised</w:t>
      </w:r>
      <w:r w:rsidRPr="008D55C6">
        <w:rPr>
          <w:rFonts w:ascii="Trebuchet MS" w:hAnsi="Trebuchet MS"/>
          <w:sz w:val="20"/>
          <w:szCs w:val="20"/>
        </w:rPr>
        <w:t xml:space="preserve">.” </w:t>
      </w:r>
    </w:p>
  </w:footnote>
  <w:footnote w:id="129">
    <w:p w14:paraId="26AA6AD3" w14:textId="79ADB0AE"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See The Punch Newspaper of Thursday, October 31, 2013 at page 12 on “No Regrets over clash with former CJN-Justice Salami”. See also The Nation Newspaper of Thursday, October 31, 2013 at pages 1, 2 and 61 on “Salami unfairly treated by NJC, says Uwais”</w:t>
      </w:r>
    </w:p>
  </w:footnote>
  <w:footnote w:id="130">
    <w:p w14:paraId="5C5CCD0D" w14:textId="175FF6C1"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International Institute for Democracy and Electoral Assistance, 2010: Extracted from “</w:t>
      </w:r>
      <w:r w:rsidRPr="008D55C6">
        <w:rPr>
          <w:rFonts w:ascii="Trebuchet MS" w:hAnsi="Trebuchet MS"/>
          <w:i/>
          <w:sz w:val="20"/>
          <w:szCs w:val="20"/>
        </w:rPr>
        <w:t xml:space="preserve">Electoral Justice: The International IDEA Handbook” </w:t>
      </w:r>
      <w:r w:rsidRPr="008D55C6">
        <w:rPr>
          <w:rFonts w:ascii="Trebuchet MS" w:hAnsi="Trebuchet MS"/>
          <w:sz w:val="20"/>
          <w:szCs w:val="20"/>
        </w:rPr>
        <w:t>p. 183, para. 558. &lt;</w:t>
      </w:r>
      <w:hyperlink r:id="rId9" w:history="1">
        <w:r w:rsidRPr="008D55C6">
          <w:rPr>
            <w:rStyle w:val="Hyperlink"/>
            <w:rFonts w:ascii="Trebuchet MS" w:hAnsi="Trebuchet MS"/>
            <w:sz w:val="20"/>
            <w:szCs w:val="20"/>
          </w:rPr>
          <w:t>http://www.idea.int/publications/electoral_justice/upload/electoral_justice_chapter_8.pdf</w:t>
        </w:r>
      </w:hyperlink>
      <w:r w:rsidRPr="008D55C6">
        <w:rPr>
          <w:rFonts w:ascii="Trebuchet MS" w:hAnsi="Trebuchet MS"/>
          <w:sz w:val="20"/>
          <w:szCs w:val="20"/>
        </w:rPr>
        <w:t>&gt; Visited on 19</w:t>
      </w:r>
      <w:r w:rsidRPr="008D55C6">
        <w:rPr>
          <w:rFonts w:ascii="Trebuchet MS" w:hAnsi="Trebuchet MS"/>
          <w:sz w:val="20"/>
          <w:szCs w:val="20"/>
          <w:vertAlign w:val="superscript"/>
        </w:rPr>
        <w:t>th</w:t>
      </w:r>
      <w:r w:rsidRPr="008D55C6">
        <w:rPr>
          <w:rFonts w:ascii="Trebuchet MS" w:hAnsi="Trebuchet MS"/>
          <w:sz w:val="20"/>
          <w:szCs w:val="20"/>
        </w:rPr>
        <w:t xml:space="preserve"> May, 2014.</w:t>
      </w:r>
    </w:p>
  </w:footnote>
  <w:footnote w:id="131">
    <w:p w14:paraId="6F3355F8" w14:textId="578A012F"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Ibid, p. 188, para 577.</w:t>
      </w:r>
    </w:p>
  </w:footnote>
  <w:footnote w:id="132">
    <w:p w14:paraId="6BFFB319" w14:textId="645C5551"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 xml:space="preserve">See </w:t>
      </w:r>
      <w:r w:rsidRPr="008D55C6">
        <w:rPr>
          <w:rFonts w:ascii="Trebuchet MS" w:hAnsi="Trebuchet MS"/>
          <w:i/>
          <w:sz w:val="20"/>
          <w:szCs w:val="20"/>
        </w:rPr>
        <w:t>Amaechi v. INEC</w:t>
      </w:r>
      <w:r w:rsidRPr="008D55C6">
        <w:rPr>
          <w:rFonts w:ascii="Trebuchet MS" w:hAnsi="Trebuchet MS"/>
          <w:sz w:val="20"/>
          <w:szCs w:val="20"/>
        </w:rPr>
        <w:t xml:space="preserve"> (supra) and </w:t>
      </w:r>
      <w:r w:rsidRPr="008D55C6">
        <w:rPr>
          <w:rFonts w:ascii="Trebuchet MS" w:hAnsi="Trebuchet MS"/>
          <w:i/>
          <w:sz w:val="20"/>
          <w:szCs w:val="20"/>
        </w:rPr>
        <w:t>Ugwu v. Ararume</w:t>
      </w:r>
      <w:r w:rsidRPr="008D55C6">
        <w:rPr>
          <w:rFonts w:ascii="Trebuchet MS" w:hAnsi="Trebuchet MS"/>
          <w:sz w:val="20"/>
          <w:szCs w:val="20"/>
        </w:rPr>
        <w:t xml:space="preserve"> (supra)</w:t>
      </w:r>
    </w:p>
  </w:footnote>
  <w:footnote w:id="133">
    <w:p w14:paraId="00369BF0" w14:textId="4541FE2F" w:rsidR="00F752A4" w:rsidRPr="008D55C6" w:rsidRDefault="00F752A4" w:rsidP="008D55C6">
      <w:pPr>
        <w:pStyle w:val="FootnoteText"/>
        <w:spacing w:line="360" w:lineRule="auto"/>
        <w:ind w:left="567" w:hanging="567"/>
        <w:contextualSpacing/>
        <w:jc w:val="both"/>
        <w:rPr>
          <w:rFonts w:ascii="Trebuchet MS" w:hAnsi="Trebuchet MS"/>
          <w:sz w:val="20"/>
          <w:szCs w:val="20"/>
        </w:rPr>
      </w:pPr>
      <w:r w:rsidRPr="008D55C6">
        <w:rPr>
          <w:rStyle w:val="FootnoteReference"/>
          <w:rFonts w:ascii="Trebuchet MS" w:hAnsi="Trebuchet MS"/>
          <w:sz w:val="20"/>
          <w:szCs w:val="20"/>
        </w:rPr>
        <w:footnoteRef/>
      </w:r>
      <w:r w:rsidRPr="008D55C6">
        <w:rPr>
          <w:rFonts w:ascii="Trebuchet MS" w:hAnsi="Trebuchet MS"/>
          <w:sz w:val="20"/>
          <w:szCs w:val="20"/>
        </w:rPr>
        <w:t xml:space="preserve"> </w:t>
      </w:r>
      <w:r w:rsidRPr="008D55C6">
        <w:rPr>
          <w:rFonts w:ascii="Trebuchet MS" w:hAnsi="Trebuchet MS"/>
          <w:sz w:val="20"/>
          <w:szCs w:val="20"/>
        </w:rPr>
        <w:tab/>
        <w:t>International Institute for Democracy and Electoral Assistance, 2010 (supra), p. 193, para. 588.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BF9"/>
    <w:multiLevelType w:val="hybridMultilevel"/>
    <w:tmpl w:val="84CC25CE"/>
    <w:lvl w:ilvl="0" w:tplc="E81ADF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B044D"/>
    <w:multiLevelType w:val="hybridMultilevel"/>
    <w:tmpl w:val="C97AC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46195"/>
    <w:multiLevelType w:val="hybridMultilevel"/>
    <w:tmpl w:val="D646F938"/>
    <w:lvl w:ilvl="0" w:tplc="A00A33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3077B"/>
    <w:multiLevelType w:val="hybridMultilevel"/>
    <w:tmpl w:val="293A0136"/>
    <w:lvl w:ilvl="0" w:tplc="9CF27E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520AB"/>
    <w:multiLevelType w:val="hybridMultilevel"/>
    <w:tmpl w:val="80060BB6"/>
    <w:lvl w:ilvl="0" w:tplc="692AE7C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B1B65"/>
    <w:multiLevelType w:val="hybridMultilevel"/>
    <w:tmpl w:val="54D84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042D85"/>
    <w:multiLevelType w:val="hybridMultilevel"/>
    <w:tmpl w:val="6992A46E"/>
    <w:lvl w:ilvl="0" w:tplc="A7D2CAB6">
      <w:start w:val="138"/>
      <w:numFmt w:val="decimal"/>
      <w:lvlText w:val="%1."/>
      <w:lvlJc w:val="left"/>
      <w:pPr>
        <w:ind w:left="810" w:hanging="4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6B0C4B"/>
    <w:multiLevelType w:val="hybridMultilevel"/>
    <w:tmpl w:val="F45E4518"/>
    <w:lvl w:ilvl="0" w:tplc="A8D68B4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B16F27"/>
    <w:multiLevelType w:val="hybridMultilevel"/>
    <w:tmpl w:val="0368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D90317"/>
    <w:multiLevelType w:val="hybridMultilevel"/>
    <w:tmpl w:val="5D0E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C6001C"/>
    <w:multiLevelType w:val="hybridMultilevel"/>
    <w:tmpl w:val="E4ECB13E"/>
    <w:lvl w:ilvl="0" w:tplc="BC5818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4011F5"/>
    <w:multiLevelType w:val="hybridMultilevel"/>
    <w:tmpl w:val="B0C29066"/>
    <w:lvl w:ilvl="0" w:tplc="8544187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2F75EF2"/>
    <w:multiLevelType w:val="hybridMultilevel"/>
    <w:tmpl w:val="8F30AC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C51B36"/>
    <w:multiLevelType w:val="hybridMultilevel"/>
    <w:tmpl w:val="193ED5B4"/>
    <w:lvl w:ilvl="0" w:tplc="FB582B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9C72F7"/>
    <w:multiLevelType w:val="hybridMultilevel"/>
    <w:tmpl w:val="A4721360"/>
    <w:lvl w:ilvl="0" w:tplc="7E9C8FB6">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560413F1"/>
    <w:multiLevelType w:val="hybridMultilevel"/>
    <w:tmpl w:val="519A1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594EC8"/>
    <w:multiLevelType w:val="hybridMultilevel"/>
    <w:tmpl w:val="08FE7488"/>
    <w:lvl w:ilvl="0" w:tplc="04090019">
      <w:start w:val="1"/>
      <w:numFmt w:val="lowerLetter"/>
      <w:lvlText w:val="%1."/>
      <w:lvlJc w:val="left"/>
      <w:pPr>
        <w:ind w:left="1533" w:hanging="360"/>
      </w:pPr>
    </w:lvl>
    <w:lvl w:ilvl="1" w:tplc="04090019" w:tentative="1">
      <w:start w:val="1"/>
      <w:numFmt w:val="lowerLetter"/>
      <w:lvlText w:val="%2."/>
      <w:lvlJc w:val="left"/>
      <w:pPr>
        <w:ind w:left="2253" w:hanging="360"/>
      </w:pPr>
    </w:lvl>
    <w:lvl w:ilvl="2" w:tplc="0409001B" w:tentative="1">
      <w:start w:val="1"/>
      <w:numFmt w:val="lowerRoman"/>
      <w:lvlText w:val="%3."/>
      <w:lvlJc w:val="right"/>
      <w:pPr>
        <w:ind w:left="2973" w:hanging="180"/>
      </w:pPr>
    </w:lvl>
    <w:lvl w:ilvl="3" w:tplc="0409000F" w:tentative="1">
      <w:start w:val="1"/>
      <w:numFmt w:val="decimal"/>
      <w:lvlText w:val="%4."/>
      <w:lvlJc w:val="left"/>
      <w:pPr>
        <w:ind w:left="3693" w:hanging="360"/>
      </w:pPr>
    </w:lvl>
    <w:lvl w:ilvl="4" w:tplc="04090019" w:tentative="1">
      <w:start w:val="1"/>
      <w:numFmt w:val="lowerLetter"/>
      <w:lvlText w:val="%5."/>
      <w:lvlJc w:val="left"/>
      <w:pPr>
        <w:ind w:left="4413" w:hanging="360"/>
      </w:pPr>
    </w:lvl>
    <w:lvl w:ilvl="5" w:tplc="0409001B" w:tentative="1">
      <w:start w:val="1"/>
      <w:numFmt w:val="lowerRoman"/>
      <w:lvlText w:val="%6."/>
      <w:lvlJc w:val="right"/>
      <w:pPr>
        <w:ind w:left="5133" w:hanging="180"/>
      </w:pPr>
    </w:lvl>
    <w:lvl w:ilvl="6" w:tplc="0409000F" w:tentative="1">
      <w:start w:val="1"/>
      <w:numFmt w:val="decimal"/>
      <w:lvlText w:val="%7."/>
      <w:lvlJc w:val="left"/>
      <w:pPr>
        <w:ind w:left="5853" w:hanging="360"/>
      </w:pPr>
    </w:lvl>
    <w:lvl w:ilvl="7" w:tplc="04090019" w:tentative="1">
      <w:start w:val="1"/>
      <w:numFmt w:val="lowerLetter"/>
      <w:lvlText w:val="%8."/>
      <w:lvlJc w:val="left"/>
      <w:pPr>
        <w:ind w:left="6573" w:hanging="360"/>
      </w:pPr>
    </w:lvl>
    <w:lvl w:ilvl="8" w:tplc="0409001B" w:tentative="1">
      <w:start w:val="1"/>
      <w:numFmt w:val="lowerRoman"/>
      <w:lvlText w:val="%9."/>
      <w:lvlJc w:val="right"/>
      <w:pPr>
        <w:ind w:left="7293" w:hanging="180"/>
      </w:pPr>
    </w:lvl>
  </w:abstractNum>
  <w:abstractNum w:abstractNumId="17">
    <w:nsid w:val="67D81B57"/>
    <w:multiLevelType w:val="hybridMultilevel"/>
    <w:tmpl w:val="487ACA72"/>
    <w:lvl w:ilvl="0" w:tplc="1D128DF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5D673B1"/>
    <w:multiLevelType w:val="hybridMultilevel"/>
    <w:tmpl w:val="429A715C"/>
    <w:lvl w:ilvl="0" w:tplc="56EC06F2">
      <w:start w:val="1"/>
      <w:numFmt w:val="lowerRoman"/>
      <w:lvlText w:val="(%1)"/>
      <w:lvlJc w:val="left"/>
      <w:pPr>
        <w:ind w:left="813" w:hanging="360"/>
      </w:pPr>
      <w:rPr>
        <w:rFonts w:hint="default"/>
      </w:rPr>
    </w:lvl>
    <w:lvl w:ilvl="1" w:tplc="04090019" w:tentative="1">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19">
    <w:nsid w:val="7CBE5DAD"/>
    <w:multiLevelType w:val="hybridMultilevel"/>
    <w:tmpl w:val="5BCC05C2"/>
    <w:lvl w:ilvl="0" w:tplc="EA6256F4">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18"/>
  </w:num>
  <w:num w:numId="3">
    <w:abstractNumId w:val="16"/>
  </w:num>
  <w:num w:numId="4">
    <w:abstractNumId w:val="5"/>
  </w:num>
  <w:num w:numId="5">
    <w:abstractNumId w:val="19"/>
  </w:num>
  <w:num w:numId="6">
    <w:abstractNumId w:val="6"/>
  </w:num>
  <w:num w:numId="7">
    <w:abstractNumId w:val="2"/>
  </w:num>
  <w:num w:numId="8">
    <w:abstractNumId w:val="3"/>
  </w:num>
  <w:num w:numId="9">
    <w:abstractNumId w:val="10"/>
  </w:num>
  <w:num w:numId="10">
    <w:abstractNumId w:val="17"/>
  </w:num>
  <w:num w:numId="11">
    <w:abstractNumId w:val="11"/>
  </w:num>
  <w:num w:numId="12">
    <w:abstractNumId w:val="13"/>
  </w:num>
  <w:num w:numId="13">
    <w:abstractNumId w:val="0"/>
  </w:num>
  <w:num w:numId="14">
    <w:abstractNumId w:val="9"/>
  </w:num>
  <w:num w:numId="15">
    <w:abstractNumId w:val="8"/>
  </w:num>
  <w:num w:numId="16">
    <w:abstractNumId w:val="7"/>
  </w:num>
  <w:num w:numId="17">
    <w:abstractNumId w:val="4"/>
  </w:num>
  <w:num w:numId="18">
    <w:abstractNumId w:val="12"/>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DEF"/>
    <w:rsid w:val="00001132"/>
    <w:rsid w:val="00001AFF"/>
    <w:rsid w:val="000030FE"/>
    <w:rsid w:val="000041A4"/>
    <w:rsid w:val="000045A5"/>
    <w:rsid w:val="00007081"/>
    <w:rsid w:val="000073F9"/>
    <w:rsid w:val="000074FE"/>
    <w:rsid w:val="0000793E"/>
    <w:rsid w:val="000106AF"/>
    <w:rsid w:val="00010774"/>
    <w:rsid w:val="00010CC5"/>
    <w:rsid w:val="00010F43"/>
    <w:rsid w:val="00013DB5"/>
    <w:rsid w:val="000153DF"/>
    <w:rsid w:val="00015C2D"/>
    <w:rsid w:val="00020D9B"/>
    <w:rsid w:val="000267CD"/>
    <w:rsid w:val="00027DED"/>
    <w:rsid w:val="000323ED"/>
    <w:rsid w:val="00032719"/>
    <w:rsid w:val="00032DCE"/>
    <w:rsid w:val="000349D1"/>
    <w:rsid w:val="00034EE2"/>
    <w:rsid w:val="0003654E"/>
    <w:rsid w:val="000417EA"/>
    <w:rsid w:val="00042C18"/>
    <w:rsid w:val="00043D69"/>
    <w:rsid w:val="0004550A"/>
    <w:rsid w:val="00046AE7"/>
    <w:rsid w:val="00050B76"/>
    <w:rsid w:val="0005137F"/>
    <w:rsid w:val="00051E61"/>
    <w:rsid w:val="000529A9"/>
    <w:rsid w:val="0005309F"/>
    <w:rsid w:val="000533A5"/>
    <w:rsid w:val="000540BD"/>
    <w:rsid w:val="000545A0"/>
    <w:rsid w:val="000556F6"/>
    <w:rsid w:val="00057D86"/>
    <w:rsid w:val="00062334"/>
    <w:rsid w:val="00064694"/>
    <w:rsid w:val="00065644"/>
    <w:rsid w:val="000656B0"/>
    <w:rsid w:val="0006591B"/>
    <w:rsid w:val="00071097"/>
    <w:rsid w:val="00071E5F"/>
    <w:rsid w:val="000722AF"/>
    <w:rsid w:val="00074107"/>
    <w:rsid w:val="000746D6"/>
    <w:rsid w:val="0007619E"/>
    <w:rsid w:val="00080F0F"/>
    <w:rsid w:val="0008164A"/>
    <w:rsid w:val="00082A5F"/>
    <w:rsid w:val="00082AD3"/>
    <w:rsid w:val="00084124"/>
    <w:rsid w:val="000873B5"/>
    <w:rsid w:val="00095A97"/>
    <w:rsid w:val="00097483"/>
    <w:rsid w:val="000A0AB1"/>
    <w:rsid w:val="000A12B5"/>
    <w:rsid w:val="000A1A72"/>
    <w:rsid w:val="000A41C3"/>
    <w:rsid w:val="000A5E7D"/>
    <w:rsid w:val="000A7391"/>
    <w:rsid w:val="000A7D76"/>
    <w:rsid w:val="000B4103"/>
    <w:rsid w:val="000B6B95"/>
    <w:rsid w:val="000B6C30"/>
    <w:rsid w:val="000C305A"/>
    <w:rsid w:val="000C3E2D"/>
    <w:rsid w:val="000D228B"/>
    <w:rsid w:val="000D7A91"/>
    <w:rsid w:val="000E0127"/>
    <w:rsid w:val="000E0171"/>
    <w:rsid w:val="000E2FCF"/>
    <w:rsid w:val="000E354D"/>
    <w:rsid w:val="000E3C5C"/>
    <w:rsid w:val="000E3EE7"/>
    <w:rsid w:val="000E46E6"/>
    <w:rsid w:val="000E5F03"/>
    <w:rsid w:val="000E652D"/>
    <w:rsid w:val="000E7B66"/>
    <w:rsid w:val="000F058D"/>
    <w:rsid w:val="000F05B7"/>
    <w:rsid w:val="000F09AB"/>
    <w:rsid w:val="000F1CD9"/>
    <w:rsid w:val="000F3032"/>
    <w:rsid w:val="000F7753"/>
    <w:rsid w:val="00100052"/>
    <w:rsid w:val="00101033"/>
    <w:rsid w:val="00102300"/>
    <w:rsid w:val="00103FD0"/>
    <w:rsid w:val="00111B0A"/>
    <w:rsid w:val="00113D80"/>
    <w:rsid w:val="001145FB"/>
    <w:rsid w:val="001149E1"/>
    <w:rsid w:val="00114A19"/>
    <w:rsid w:val="001231E5"/>
    <w:rsid w:val="00123BB8"/>
    <w:rsid w:val="001250C2"/>
    <w:rsid w:val="00126840"/>
    <w:rsid w:val="00131257"/>
    <w:rsid w:val="00132DFF"/>
    <w:rsid w:val="00134C74"/>
    <w:rsid w:val="00135118"/>
    <w:rsid w:val="001356D1"/>
    <w:rsid w:val="00140ACB"/>
    <w:rsid w:val="0014294C"/>
    <w:rsid w:val="00144758"/>
    <w:rsid w:val="0014484E"/>
    <w:rsid w:val="00145D51"/>
    <w:rsid w:val="00146479"/>
    <w:rsid w:val="00150E32"/>
    <w:rsid w:val="00152B7D"/>
    <w:rsid w:val="00154AA1"/>
    <w:rsid w:val="00155070"/>
    <w:rsid w:val="0015515B"/>
    <w:rsid w:val="00157610"/>
    <w:rsid w:val="001617EE"/>
    <w:rsid w:val="001623D5"/>
    <w:rsid w:val="00164A4C"/>
    <w:rsid w:val="00167FBD"/>
    <w:rsid w:val="001706D0"/>
    <w:rsid w:val="00170D39"/>
    <w:rsid w:val="00171232"/>
    <w:rsid w:val="001737BE"/>
    <w:rsid w:val="00174577"/>
    <w:rsid w:val="00175677"/>
    <w:rsid w:val="00176146"/>
    <w:rsid w:val="00177779"/>
    <w:rsid w:val="00177E6E"/>
    <w:rsid w:val="00180041"/>
    <w:rsid w:val="0018110C"/>
    <w:rsid w:val="00183A65"/>
    <w:rsid w:val="001841F7"/>
    <w:rsid w:val="001864C9"/>
    <w:rsid w:val="00186DAA"/>
    <w:rsid w:val="001900B5"/>
    <w:rsid w:val="0019247A"/>
    <w:rsid w:val="00192B70"/>
    <w:rsid w:val="00193002"/>
    <w:rsid w:val="001A1220"/>
    <w:rsid w:val="001A4D42"/>
    <w:rsid w:val="001A65BE"/>
    <w:rsid w:val="001B1C0C"/>
    <w:rsid w:val="001B7C77"/>
    <w:rsid w:val="001C023D"/>
    <w:rsid w:val="001C1128"/>
    <w:rsid w:val="001C3C84"/>
    <w:rsid w:val="001C5F09"/>
    <w:rsid w:val="001D1DD9"/>
    <w:rsid w:val="001D3C49"/>
    <w:rsid w:val="001E10C9"/>
    <w:rsid w:val="001E128F"/>
    <w:rsid w:val="001E2D97"/>
    <w:rsid w:val="001E4846"/>
    <w:rsid w:val="001F057D"/>
    <w:rsid w:val="001F1370"/>
    <w:rsid w:val="001F195D"/>
    <w:rsid w:val="001F36CD"/>
    <w:rsid w:val="0020080A"/>
    <w:rsid w:val="00201B38"/>
    <w:rsid w:val="00202C82"/>
    <w:rsid w:val="00202E65"/>
    <w:rsid w:val="0020344F"/>
    <w:rsid w:val="00205DDE"/>
    <w:rsid w:val="0021207B"/>
    <w:rsid w:val="00213E6A"/>
    <w:rsid w:val="002150BD"/>
    <w:rsid w:val="00217C3A"/>
    <w:rsid w:val="00217C94"/>
    <w:rsid w:val="002244C5"/>
    <w:rsid w:val="00224D00"/>
    <w:rsid w:val="002267D5"/>
    <w:rsid w:val="00227127"/>
    <w:rsid w:val="0022758B"/>
    <w:rsid w:val="00230829"/>
    <w:rsid w:val="00231288"/>
    <w:rsid w:val="0023231D"/>
    <w:rsid w:val="002334E2"/>
    <w:rsid w:val="00234749"/>
    <w:rsid w:val="00234BBA"/>
    <w:rsid w:val="00235357"/>
    <w:rsid w:val="00235E91"/>
    <w:rsid w:val="00237B2D"/>
    <w:rsid w:val="00237EA5"/>
    <w:rsid w:val="0024420D"/>
    <w:rsid w:val="002448FB"/>
    <w:rsid w:val="00246201"/>
    <w:rsid w:val="0024629B"/>
    <w:rsid w:val="002464E1"/>
    <w:rsid w:val="00247CB0"/>
    <w:rsid w:val="00252BA9"/>
    <w:rsid w:val="002571B4"/>
    <w:rsid w:val="002574B4"/>
    <w:rsid w:val="00257DAD"/>
    <w:rsid w:val="002650B5"/>
    <w:rsid w:val="0026528B"/>
    <w:rsid w:val="0027078C"/>
    <w:rsid w:val="002752C6"/>
    <w:rsid w:val="002763E6"/>
    <w:rsid w:val="002764C0"/>
    <w:rsid w:val="0028114D"/>
    <w:rsid w:val="00282836"/>
    <w:rsid w:val="00284865"/>
    <w:rsid w:val="00290894"/>
    <w:rsid w:val="00290950"/>
    <w:rsid w:val="002940F8"/>
    <w:rsid w:val="00294630"/>
    <w:rsid w:val="00295EFD"/>
    <w:rsid w:val="00297D76"/>
    <w:rsid w:val="002A0F28"/>
    <w:rsid w:val="002A271B"/>
    <w:rsid w:val="002A3271"/>
    <w:rsid w:val="002A3426"/>
    <w:rsid w:val="002A3A69"/>
    <w:rsid w:val="002A41E5"/>
    <w:rsid w:val="002A5C4D"/>
    <w:rsid w:val="002A7469"/>
    <w:rsid w:val="002A7B4E"/>
    <w:rsid w:val="002B4BE6"/>
    <w:rsid w:val="002B55DC"/>
    <w:rsid w:val="002B6285"/>
    <w:rsid w:val="002B6548"/>
    <w:rsid w:val="002C23AF"/>
    <w:rsid w:val="002C2827"/>
    <w:rsid w:val="002C322A"/>
    <w:rsid w:val="002D293B"/>
    <w:rsid w:val="002D2A4C"/>
    <w:rsid w:val="002D4E70"/>
    <w:rsid w:val="002D566B"/>
    <w:rsid w:val="002D7939"/>
    <w:rsid w:val="002E0538"/>
    <w:rsid w:val="002E2FCB"/>
    <w:rsid w:val="002E44B3"/>
    <w:rsid w:val="002E5D58"/>
    <w:rsid w:val="002E7B32"/>
    <w:rsid w:val="002F2FDA"/>
    <w:rsid w:val="002F4B1D"/>
    <w:rsid w:val="002F59B0"/>
    <w:rsid w:val="002F7B39"/>
    <w:rsid w:val="00302AA6"/>
    <w:rsid w:val="00302E84"/>
    <w:rsid w:val="00302E91"/>
    <w:rsid w:val="0030333C"/>
    <w:rsid w:val="00305322"/>
    <w:rsid w:val="0030545F"/>
    <w:rsid w:val="00305FEE"/>
    <w:rsid w:val="0030684E"/>
    <w:rsid w:val="003112D9"/>
    <w:rsid w:val="003148E2"/>
    <w:rsid w:val="003150BE"/>
    <w:rsid w:val="003201BE"/>
    <w:rsid w:val="00321328"/>
    <w:rsid w:val="00323AC3"/>
    <w:rsid w:val="003247D6"/>
    <w:rsid w:val="00325138"/>
    <w:rsid w:val="00325665"/>
    <w:rsid w:val="00325932"/>
    <w:rsid w:val="003260A9"/>
    <w:rsid w:val="00330155"/>
    <w:rsid w:val="00333449"/>
    <w:rsid w:val="00333C43"/>
    <w:rsid w:val="003343C6"/>
    <w:rsid w:val="00334992"/>
    <w:rsid w:val="00336108"/>
    <w:rsid w:val="00340434"/>
    <w:rsid w:val="00343463"/>
    <w:rsid w:val="00346238"/>
    <w:rsid w:val="003565E3"/>
    <w:rsid w:val="00356BE0"/>
    <w:rsid w:val="00357296"/>
    <w:rsid w:val="003610A5"/>
    <w:rsid w:val="003613D1"/>
    <w:rsid w:val="0036455C"/>
    <w:rsid w:val="00364D43"/>
    <w:rsid w:val="00366EDE"/>
    <w:rsid w:val="00367D6F"/>
    <w:rsid w:val="00371E43"/>
    <w:rsid w:val="0037650E"/>
    <w:rsid w:val="00376CFE"/>
    <w:rsid w:val="00380CCA"/>
    <w:rsid w:val="00381299"/>
    <w:rsid w:val="00382397"/>
    <w:rsid w:val="00382A31"/>
    <w:rsid w:val="00383FF2"/>
    <w:rsid w:val="00386BAD"/>
    <w:rsid w:val="00387347"/>
    <w:rsid w:val="00390B04"/>
    <w:rsid w:val="00391629"/>
    <w:rsid w:val="00392F42"/>
    <w:rsid w:val="003934DB"/>
    <w:rsid w:val="003A014A"/>
    <w:rsid w:val="003A0244"/>
    <w:rsid w:val="003A12A8"/>
    <w:rsid w:val="003A16A7"/>
    <w:rsid w:val="003A19EA"/>
    <w:rsid w:val="003A45AB"/>
    <w:rsid w:val="003A5039"/>
    <w:rsid w:val="003A5C6A"/>
    <w:rsid w:val="003A5E63"/>
    <w:rsid w:val="003A6145"/>
    <w:rsid w:val="003A62A9"/>
    <w:rsid w:val="003A6613"/>
    <w:rsid w:val="003A7326"/>
    <w:rsid w:val="003B1A4E"/>
    <w:rsid w:val="003B2F61"/>
    <w:rsid w:val="003B3383"/>
    <w:rsid w:val="003B40DB"/>
    <w:rsid w:val="003B42D8"/>
    <w:rsid w:val="003B71CC"/>
    <w:rsid w:val="003C034B"/>
    <w:rsid w:val="003C1256"/>
    <w:rsid w:val="003C2522"/>
    <w:rsid w:val="003C3036"/>
    <w:rsid w:val="003C4260"/>
    <w:rsid w:val="003C4A36"/>
    <w:rsid w:val="003C5045"/>
    <w:rsid w:val="003C54DA"/>
    <w:rsid w:val="003C5661"/>
    <w:rsid w:val="003C7DE3"/>
    <w:rsid w:val="003D35CC"/>
    <w:rsid w:val="003D3737"/>
    <w:rsid w:val="003D3C7F"/>
    <w:rsid w:val="003D437A"/>
    <w:rsid w:val="003D787F"/>
    <w:rsid w:val="003D7E62"/>
    <w:rsid w:val="003E05EC"/>
    <w:rsid w:val="003E1888"/>
    <w:rsid w:val="003E7A13"/>
    <w:rsid w:val="003F0393"/>
    <w:rsid w:val="003F13D4"/>
    <w:rsid w:val="003F1C27"/>
    <w:rsid w:val="003F348D"/>
    <w:rsid w:val="003F40E0"/>
    <w:rsid w:val="003F5713"/>
    <w:rsid w:val="00403909"/>
    <w:rsid w:val="00403F9D"/>
    <w:rsid w:val="0040482E"/>
    <w:rsid w:val="0040514B"/>
    <w:rsid w:val="00405400"/>
    <w:rsid w:val="004057B4"/>
    <w:rsid w:val="00410521"/>
    <w:rsid w:val="0041096B"/>
    <w:rsid w:val="0041325D"/>
    <w:rsid w:val="00413CEB"/>
    <w:rsid w:val="004148CC"/>
    <w:rsid w:val="004154EE"/>
    <w:rsid w:val="00416755"/>
    <w:rsid w:val="00417683"/>
    <w:rsid w:val="00421542"/>
    <w:rsid w:val="0042175B"/>
    <w:rsid w:val="004247D5"/>
    <w:rsid w:val="00424841"/>
    <w:rsid w:val="00424B22"/>
    <w:rsid w:val="0042517D"/>
    <w:rsid w:val="00426557"/>
    <w:rsid w:val="00426589"/>
    <w:rsid w:val="0042680C"/>
    <w:rsid w:val="004312CC"/>
    <w:rsid w:val="00431FEF"/>
    <w:rsid w:val="004326F2"/>
    <w:rsid w:val="00432753"/>
    <w:rsid w:val="00433583"/>
    <w:rsid w:val="00433C77"/>
    <w:rsid w:val="004355E6"/>
    <w:rsid w:val="0043596B"/>
    <w:rsid w:val="00437022"/>
    <w:rsid w:val="00440053"/>
    <w:rsid w:val="00440BC4"/>
    <w:rsid w:val="00441B4E"/>
    <w:rsid w:val="00442588"/>
    <w:rsid w:val="00444FFE"/>
    <w:rsid w:val="0044712D"/>
    <w:rsid w:val="00447996"/>
    <w:rsid w:val="00450AB2"/>
    <w:rsid w:val="00450F52"/>
    <w:rsid w:val="0045417A"/>
    <w:rsid w:val="00456CAC"/>
    <w:rsid w:val="00457B18"/>
    <w:rsid w:val="004616B2"/>
    <w:rsid w:val="0046482B"/>
    <w:rsid w:val="00467889"/>
    <w:rsid w:val="0046788A"/>
    <w:rsid w:val="004705E7"/>
    <w:rsid w:val="00471D60"/>
    <w:rsid w:val="00472168"/>
    <w:rsid w:val="00473406"/>
    <w:rsid w:val="0047419B"/>
    <w:rsid w:val="00475F11"/>
    <w:rsid w:val="00475F8B"/>
    <w:rsid w:val="004803DF"/>
    <w:rsid w:val="00481067"/>
    <w:rsid w:val="004817C1"/>
    <w:rsid w:val="004823A3"/>
    <w:rsid w:val="004839CC"/>
    <w:rsid w:val="0048667A"/>
    <w:rsid w:val="00486BEA"/>
    <w:rsid w:val="00490E90"/>
    <w:rsid w:val="00492BE2"/>
    <w:rsid w:val="00495639"/>
    <w:rsid w:val="00495730"/>
    <w:rsid w:val="00497052"/>
    <w:rsid w:val="004A0E39"/>
    <w:rsid w:val="004B0A6C"/>
    <w:rsid w:val="004B2A0A"/>
    <w:rsid w:val="004B3184"/>
    <w:rsid w:val="004B6004"/>
    <w:rsid w:val="004B6953"/>
    <w:rsid w:val="004B7CEE"/>
    <w:rsid w:val="004C17E1"/>
    <w:rsid w:val="004C47A7"/>
    <w:rsid w:val="004C496E"/>
    <w:rsid w:val="004D0568"/>
    <w:rsid w:val="004D2262"/>
    <w:rsid w:val="004D3711"/>
    <w:rsid w:val="004E308D"/>
    <w:rsid w:val="004E5595"/>
    <w:rsid w:val="004E73B3"/>
    <w:rsid w:val="004E7793"/>
    <w:rsid w:val="004E7F65"/>
    <w:rsid w:val="004F119B"/>
    <w:rsid w:val="004F3CE4"/>
    <w:rsid w:val="005002CE"/>
    <w:rsid w:val="0050030A"/>
    <w:rsid w:val="00500E3F"/>
    <w:rsid w:val="00504274"/>
    <w:rsid w:val="00504CD4"/>
    <w:rsid w:val="0050657A"/>
    <w:rsid w:val="00506E3F"/>
    <w:rsid w:val="005103A1"/>
    <w:rsid w:val="00511476"/>
    <w:rsid w:val="00512C75"/>
    <w:rsid w:val="005133FE"/>
    <w:rsid w:val="005138B4"/>
    <w:rsid w:val="00514D16"/>
    <w:rsid w:val="00517102"/>
    <w:rsid w:val="005174CE"/>
    <w:rsid w:val="00520A19"/>
    <w:rsid w:val="005221D5"/>
    <w:rsid w:val="00525725"/>
    <w:rsid w:val="0052598D"/>
    <w:rsid w:val="00525FEF"/>
    <w:rsid w:val="005273B5"/>
    <w:rsid w:val="00527F01"/>
    <w:rsid w:val="00531964"/>
    <w:rsid w:val="00531E72"/>
    <w:rsid w:val="0053254C"/>
    <w:rsid w:val="005337EC"/>
    <w:rsid w:val="0053454A"/>
    <w:rsid w:val="00534738"/>
    <w:rsid w:val="00534815"/>
    <w:rsid w:val="0053760C"/>
    <w:rsid w:val="00541198"/>
    <w:rsid w:val="00541CAB"/>
    <w:rsid w:val="005452AE"/>
    <w:rsid w:val="00546351"/>
    <w:rsid w:val="00550A34"/>
    <w:rsid w:val="0055247A"/>
    <w:rsid w:val="00552638"/>
    <w:rsid w:val="00553397"/>
    <w:rsid w:val="00553ED7"/>
    <w:rsid w:val="00553F38"/>
    <w:rsid w:val="0055412B"/>
    <w:rsid w:val="00555761"/>
    <w:rsid w:val="00557CAA"/>
    <w:rsid w:val="00560657"/>
    <w:rsid w:val="00561F66"/>
    <w:rsid w:val="00563E0E"/>
    <w:rsid w:val="0056658F"/>
    <w:rsid w:val="00566674"/>
    <w:rsid w:val="005673B2"/>
    <w:rsid w:val="00573AB1"/>
    <w:rsid w:val="00574392"/>
    <w:rsid w:val="005758C8"/>
    <w:rsid w:val="00576238"/>
    <w:rsid w:val="00577E1C"/>
    <w:rsid w:val="005810BE"/>
    <w:rsid w:val="00582607"/>
    <w:rsid w:val="00585586"/>
    <w:rsid w:val="005916FB"/>
    <w:rsid w:val="00593F03"/>
    <w:rsid w:val="00594A67"/>
    <w:rsid w:val="0059750D"/>
    <w:rsid w:val="00597E46"/>
    <w:rsid w:val="005A1DA8"/>
    <w:rsid w:val="005A30CE"/>
    <w:rsid w:val="005A43AB"/>
    <w:rsid w:val="005A48AA"/>
    <w:rsid w:val="005A5B82"/>
    <w:rsid w:val="005A716D"/>
    <w:rsid w:val="005B11B1"/>
    <w:rsid w:val="005B158D"/>
    <w:rsid w:val="005B3439"/>
    <w:rsid w:val="005B37EF"/>
    <w:rsid w:val="005B3C8B"/>
    <w:rsid w:val="005B5729"/>
    <w:rsid w:val="005B7205"/>
    <w:rsid w:val="005C1AED"/>
    <w:rsid w:val="005C670E"/>
    <w:rsid w:val="005C6F50"/>
    <w:rsid w:val="005D1666"/>
    <w:rsid w:val="005D1D43"/>
    <w:rsid w:val="005D2B69"/>
    <w:rsid w:val="005D2BDF"/>
    <w:rsid w:val="005D3C91"/>
    <w:rsid w:val="005D3E28"/>
    <w:rsid w:val="005D43DC"/>
    <w:rsid w:val="005D4677"/>
    <w:rsid w:val="005D64BC"/>
    <w:rsid w:val="005E05AB"/>
    <w:rsid w:val="005E2C73"/>
    <w:rsid w:val="005E5580"/>
    <w:rsid w:val="005F0503"/>
    <w:rsid w:val="005F1BFC"/>
    <w:rsid w:val="005F2978"/>
    <w:rsid w:val="005F4A10"/>
    <w:rsid w:val="005F569C"/>
    <w:rsid w:val="006027AC"/>
    <w:rsid w:val="006032B9"/>
    <w:rsid w:val="0060774B"/>
    <w:rsid w:val="0060799C"/>
    <w:rsid w:val="006106E3"/>
    <w:rsid w:val="006121B3"/>
    <w:rsid w:val="00612BEA"/>
    <w:rsid w:val="006136AC"/>
    <w:rsid w:val="00615809"/>
    <w:rsid w:val="00615A22"/>
    <w:rsid w:val="0061717C"/>
    <w:rsid w:val="00617962"/>
    <w:rsid w:val="00620425"/>
    <w:rsid w:val="006205DF"/>
    <w:rsid w:val="0062068A"/>
    <w:rsid w:val="00620A15"/>
    <w:rsid w:val="00626066"/>
    <w:rsid w:val="00631663"/>
    <w:rsid w:val="00632CBD"/>
    <w:rsid w:val="00633FB5"/>
    <w:rsid w:val="00634A66"/>
    <w:rsid w:val="00634E46"/>
    <w:rsid w:val="006353A2"/>
    <w:rsid w:val="00636C77"/>
    <w:rsid w:val="006372ED"/>
    <w:rsid w:val="006400E9"/>
    <w:rsid w:val="00640EE0"/>
    <w:rsid w:val="00640F47"/>
    <w:rsid w:val="00643A38"/>
    <w:rsid w:val="006454D5"/>
    <w:rsid w:val="00646612"/>
    <w:rsid w:val="00651C6F"/>
    <w:rsid w:val="00652B57"/>
    <w:rsid w:val="00652BE8"/>
    <w:rsid w:val="00653FE1"/>
    <w:rsid w:val="00656CD8"/>
    <w:rsid w:val="006573AD"/>
    <w:rsid w:val="006605F6"/>
    <w:rsid w:val="00660BB4"/>
    <w:rsid w:val="00666FA9"/>
    <w:rsid w:val="00667EBA"/>
    <w:rsid w:val="00670872"/>
    <w:rsid w:val="006710DB"/>
    <w:rsid w:val="006713C1"/>
    <w:rsid w:val="00672F71"/>
    <w:rsid w:val="0067357D"/>
    <w:rsid w:val="00674817"/>
    <w:rsid w:val="006753A8"/>
    <w:rsid w:val="00675B6D"/>
    <w:rsid w:val="00676BE0"/>
    <w:rsid w:val="00683905"/>
    <w:rsid w:val="00684837"/>
    <w:rsid w:val="00685A40"/>
    <w:rsid w:val="0068619A"/>
    <w:rsid w:val="0069284B"/>
    <w:rsid w:val="00693001"/>
    <w:rsid w:val="00693939"/>
    <w:rsid w:val="006A320A"/>
    <w:rsid w:val="006A412C"/>
    <w:rsid w:val="006A45E7"/>
    <w:rsid w:val="006A5E66"/>
    <w:rsid w:val="006A6542"/>
    <w:rsid w:val="006A6983"/>
    <w:rsid w:val="006A7F76"/>
    <w:rsid w:val="006B041C"/>
    <w:rsid w:val="006B0AC3"/>
    <w:rsid w:val="006B1C61"/>
    <w:rsid w:val="006B27AE"/>
    <w:rsid w:val="006B348C"/>
    <w:rsid w:val="006B4FE7"/>
    <w:rsid w:val="006B5364"/>
    <w:rsid w:val="006B72AA"/>
    <w:rsid w:val="006C1446"/>
    <w:rsid w:val="006C3D60"/>
    <w:rsid w:val="006C65F8"/>
    <w:rsid w:val="006C7721"/>
    <w:rsid w:val="006D53F2"/>
    <w:rsid w:val="006D625F"/>
    <w:rsid w:val="006D671E"/>
    <w:rsid w:val="006D6DAD"/>
    <w:rsid w:val="006D6FFA"/>
    <w:rsid w:val="006D7E3B"/>
    <w:rsid w:val="006E061A"/>
    <w:rsid w:val="006E0C21"/>
    <w:rsid w:val="006E0EA4"/>
    <w:rsid w:val="006E1A90"/>
    <w:rsid w:val="006E6806"/>
    <w:rsid w:val="006E7CD3"/>
    <w:rsid w:val="006F28A9"/>
    <w:rsid w:val="006F5DE2"/>
    <w:rsid w:val="006F62E9"/>
    <w:rsid w:val="006F6A6D"/>
    <w:rsid w:val="006F6F51"/>
    <w:rsid w:val="0070021C"/>
    <w:rsid w:val="007009E6"/>
    <w:rsid w:val="00701668"/>
    <w:rsid w:val="0070500C"/>
    <w:rsid w:val="00705223"/>
    <w:rsid w:val="00706E36"/>
    <w:rsid w:val="00706F57"/>
    <w:rsid w:val="00707DBD"/>
    <w:rsid w:val="00714477"/>
    <w:rsid w:val="0071750A"/>
    <w:rsid w:val="007200FA"/>
    <w:rsid w:val="00720F63"/>
    <w:rsid w:val="00721C7D"/>
    <w:rsid w:val="007224BC"/>
    <w:rsid w:val="00722F6D"/>
    <w:rsid w:val="007241C0"/>
    <w:rsid w:val="007245EC"/>
    <w:rsid w:val="00726F6C"/>
    <w:rsid w:val="00727B6B"/>
    <w:rsid w:val="00733247"/>
    <w:rsid w:val="007351CB"/>
    <w:rsid w:val="00735615"/>
    <w:rsid w:val="00735640"/>
    <w:rsid w:val="007364AD"/>
    <w:rsid w:val="00736C45"/>
    <w:rsid w:val="007423A1"/>
    <w:rsid w:val="007449FF"/>
    <w:rsid w:val="00753157"/>
    <w:rsid w:val="0075396B"/>
    <w:rsid w:val="007547DB"/>
    <w:rsid w:val="00754A46"/>
    <w:rsid w:val="0075600A"/>
    <w:rsid w:val="0076335F"/>
    <w:rsid w:val="0076375D"/>
    <w:rsid w:val="00765531"/>
    <w:rsid w:val="00766808"/>
    <w:rsid w:val="00772706"/>
    <w:rsid w:val="0077343B"/>
    <w:rsid w:val="00774ECB"/>
    <w:rsid w:val="00782479"/>
    <w:rsid w:val="007832BD"/>
    <w:rsid w:val="0078531D"/>
    <w:rsid w:val="00785E85"/>
    <w:rsid w:val="00786612"/>
    <w:rsid w:val="00786BA7"/>
    <w:rsid w:val="00792DC3"/>
    <w:rsid w:val="007932CE"/>
    <w:rsid w:val="007937B7"/>
    <w:rsid w:val="00793A8E"/>
    <w:rsid w:val="00794DFF"/>
    <w:rsid w:val="00795741"/>
    <w:rsid w:val="007A0D01"/>
    <w:rsid w:val="007A2D55"/>
    <w:rsid w:val="007A2E58"/>
    <w:rsid w:val="007A4C34"/>
    <w:rsid w:val="007A5006"/>
    <w:rsid w:val="007A50EC"/>
    <w:rsid w:val="007A6B29"/>
    <w:rsid w:val="007B00B9"/>
    <w:rsid w:val="007B08F2"/>
    <w:rsid w:val="007B45F1"/>
    <w:rsid w:val="007B5AAC"/>
    <w:rsid w:val="007B6184"/>
    <w:rsid w:val="007B6241"/>
    <w:rsid w:val="007B6647"/>
    <w:rsid w:val="007B7117"/>
    <w:rsid w:val="007B7346"/>
    <w:rsid w:val="007C0CFF"/>
    <w:rsid w:val="007C13EF"/>
    <w:rsid w:val="007C1EBF"/>
    <w:rsid w:val="007C20D8"/>
    <w:rsid w:val="007C2D97"/>
    <w:rsid w:val="007C39A0"/>
    <w:rsid w:val="007C3A13"/>
    <w:rsid w:val="007C4E59"/>
    <w:rsid w:val="007C5268"/>
    <w:rsid w:val="007C756D"/>
    <w:rsid w:val="007D0485"/>
    <w:rsid w:val="007D0869"/>
    <w:rsid w:val="007D0C79"/>
    <w:rsid w:val="007D0CEC"/>
    <w:rsid w:val="007D3286"/>
    <w:rsid w:val="007D692E"/>
    <w:rsid w:val="007E0AEA"/>
    <w:rsid w:val="007E18F1"/>
    <w:rsid w:val="007E55A8"/>
    <w:rsid w:val="007E55B6"/>
    <w:rsid w:val="007F1584"/>
    <w:rsid w:val="007F1A86"/>
    <w:rsid w:val="007F4D65"/>
    <w:rsid w:val="007F4EBA"/>
    <w:rsid w:val="007F64CE"/>
    <w:rsid w:val="008008F3"/>
    <w:rsid w:val="00804FD9"/>
    <w:rsid w:val="00806D84"/>
    <w:rsid w:val="00814BB4"/>
    <w:rsid w:val="0081637E"/>
    <w:rsid w:val="00816D35"/>
    <w:rsid w:val="00816DE9"/>
    <w:rsid w:val="008178A3"/>
    <w:rsid w:val="00817BC2"/>
    <w:rsid w:val="008229D1"/>
    <w:rsid w:val="00826B53"/>
    <w:rsid w:val="00827A7B"/>
    <w:rsid w:val="00830095"/>
    <w:rsid w:val="00830CF2"/>
    <w:rsid w:val="0083129E"/>
    <w:rsid w:val="008343E8"/>
    <w:rsid w:val="00836BB8"/>
    <w:rsid w:val="00840C09"/>
    <w:rsid w:val="008416F6"/>
    <w:rsid w:val="00841DD4"/>
    <w:rsid w:val="00843747"/>
    <w:rsid w:val="00844609"/>
    <w:rsid w:val="00845267"/>
    <w:rsid w:val="008469E0"/>
    <w:rsid w:val="008508D2"/>
    <w:rsid w:val="008559A1"/>
    <w:rsid w:val="008573A7"/>
    <w:rsid w:val="00857605"/>
    <w:rsid w:val="00857CB3"/>
    <w:rsid w:val="00862075"/>
    <w:rsid w:val="00862EB8"/>
    <w:rsid w:val="00863753"/>
    <w:rsid w:val="00864584"/>
    <w:rsid w:val="008657FE"/>
    <w:rsid w:val="0086669C"/>
    <w:rsid w:val="00873F2F"/>
    <w:rsid w:val="008748A1"/>
    <w:rsid w:val="0087536B"/>
    <w:rsid w:val="00876B64"/>
    <w:rsid w:val="008779D5"/>
    <w:rsid w:val="008812A6"/>
    <w:rsid w:val="00885C3F"/>
    <w:rsid w:val="00886BD6"/>
    <w:rsid w:val="00887313"/>
    <w:rsid w:val="00890609"/>
    <w:rsid w:val="00892E33"/>
    <w:rsid w:val="008949B0"/>
    <w:rsid w:val="008973E7"/>
    <w:rsid w:val="008A0B03"/>
    <w:rsid w:val="008A58FB"/>
    <w:rsid w:val="008A6AC2"/>
    <w:rsid w:val="008A72B0"/>
    <w:rsid w:val="008A7C28"/>
    <w:rsid w:val="008B089F"/>
    <w:rsid w:val="008B0EED"/>
    <w:rsid w:val="008B139C"/>
    <w:rsid w:val="008B35DD"/>
    <w:rsid w:val="008B3926"/>
    <w:rsid w:val="008B6530"/>
    <w:rsid w:val="008B6778"/>
    <w:rsid w:val="008B6BCD"/>
    <w:rsid w:val="008B6FD9"/>
    <w:rsid w:val="008C2D37"/>
    <w:rsid w:val="008C34EE"/>
    <w:rsid w:val="008C38FF"/>
    <w:rsid w:val="008C4C94"/>
    <w:rsid w:val="008D03F4"/>
    <w:rsid w:val="008D061B"/>
    <w:rsid w:val="008D413E"/>
    <w:rsid w:val="008D518B"/>
    <w:rsid w:val="008D55C6"/>
    <w:rsid w:val="008D56ED"/>
    <w:rsid w:val="008D5739"/>
    <w:rsid w:val="008D7040"/>
    <w:rsid w:val="008D7A6D"/>
    <w:rsid w:val="008E0FD3"/>
    <w:rsid w:val="008E10F4"/>
    <w:rsid w:val="008E3BE9"/>
    <w:rsid w:val="008E48DA"/>
    <w:rsid w:val="008E4C1A"/>
    <w:rsid w:val="008E4E5D"/>
    <w:rsid w:val="008E5178"/>
    <w:rsid w:val="008E582C"/>
    <w:rsid w:val="008F1F81"/>
    <w:rsid w:val="008F3CEA"/>
    <w:rsid w:val="008F410F"/>
    <w:rsid w:val="008F7905"/>
    <w:rsid w:val="00900316"/>
    <w:rsid w:val="00902765"/>
    <w:rsid w:val="009045C9"/>
    <w:rsid w:val="00905EB0"/>
    <w:rsid w:val="00911137"/>
    <w:rsid w:val="00912FC2"/>
    <w:rsid w:val="00913095"/>
    <w:rsid w:val="009135E9"/>
    <w:rsid w:val="00913D8F"/>
    <w:rsid w:val="00914809"/>
    <w:rsid w:val="009153A9"/>
    <w:rsid w:val="009158C2"/>
    <w:rsid w:val="00915B67"/>
    <w:rsid w:val="00915BDF"/>
    <w:rsid w:val="00916D8F"/>
    <w:rsid w:val="00920B41"/>
    <w:rsid w:val="00924546"/>
    <w:rsid w:val="00925A22"/>
    <w:rsid w:val="00925A7E"/>
    <w:rsid w:val="00925EEB"/>
    <w:rsid w:val="009301F8"/>
    <w:rsid w:val="0093145E"/>
    <w:rsid w:val="00932AD6"/>
    <w:rsid w:val="00935D19"/>
    <w:rsid w:val="00936377"/>
    <w:rsid w:val="00941296"/>
    <w:rsid w:val="009422DD"/>
    <w:rsid w:val="009453E8"/>
    <w:rsid w:val="0094647C"/>
    <w:rsid w:val="00951375"/>
    <w:rsid w:val="00951835"/>
    <w:rsid w:val="00951856"/>
    <w:rsid w:val="00951872"/>
    <w:rsid w:val="009536B6"/>
    <w:rsid w:val="00953A37"/>
    <w:rsid w:val="00955E33"/>
    <w:rsid w:val="0095604F"/>
    <w:rsid w:val="00957B34"/>
    <w:rsid w:val="00960A13"/>
    <w:rsid w:val="00960DDD"/>
    <w:rsid w:val="0096519E"/>
    <w:rsid w:val="00965628"/>
    <w:rsid w:val="00966B47"/>
    <w:rsid w:val="0097074A"/>
    <w:rsid w:val="00971CDE"/>
    <w:rsid w:val="00973AA9"/>
    <w:rsid w:val="009743F2"/>
    <w:rsid w:val="00977417"/>
    <w:rsid w:val="00977429"/>
    <w:rsid w:val="009804D3"/>
    <w:rsid w:val="00981F75"/>
    <w:rsid w:val="00982A32"/>
    <w:rsid w:val="00982C98"/>
    <w:rsid w:val="009851F2"/>
    <w:rsid w:val="009853B0"/>
    <w:rsid w:val="00986A68"/>
    <w:rsid w:val="00986E45"/>
    <w:rsid w:val="009925F0"/>
    <w:rsid w:val="00992F1E"/>
    <w:rsid w:val="0099487A"/>
    <w:rsid w:val="00994DAA"/>
    <w:rsid w:val="00995483"/>
    <w:rsid w:val="00995CD1"/>
    <w:rsid w:val="00997A06"/>
    <w:rsid w:val="009A03CF"/>
    <w:rsid w:val="009A0E2C"/>
    <w:rsid w:val="009A1D14"/>
    <w:rsid w:val="009A22D9"/>
    <w:rsid w:val="009A2850"/>
    <w:rsid w:val="009A3111"/>
    <w:rsid w:val="009A3761"/>
    <w:rsid w:val="009A59AA"/>
    <w:rsid w:val="009A7096"/>
    <w:rsid w:val="009B072D"/>
    <w:rsid w:val="009B28ED"/>
    <w:rsid w:val="009B4E0B"/>
    <w:rsid w:val="009B5AB5"/>
    <w:rsid w:val="009C27FC"/>
    <w:rsid w:val="009C2AD1"/>
    <w:rsid w:val="009C3DF9"/>
    <w:rsid w:val="009C5C8D"/>
    <w:rsid w:val="009C6059"/>
    <w:rsid w:val="009C79D8"/>
    <w:rsid w:val="009C7F02"/>
    <w:rsid w:val="009D1446"/>
    <w:rsid w:val="009D4998"/>
    <w:rsid w:val="009D66D4"/>
    <w:rsid w:val="009D6A0F"/>
    <w:rsid w:val="009E62D2"/>
    <w:rsid w:val="009E7A9B"/>
    <w:rsid w:val="009F2F1C"/>
    <w:rsid w:val="009F329A"/>
    <w:rsid w:val="009F33A5"/>
    <w:rsid w:val="009F3CB0"/>
    <w:rsid w:val="00A01962"/>
    <w:rsid w:val="00A03965"/>
    <w:rsid w:val="00A04077"/>
    <w:rsid w:val="00A0602A"/>
    <w:rsid w:val="00A0750A"/>
    <w:rsid w:val="00A07938"/>
    <w:rsid w:val="00A07DFD"/>
    <w:rsid w:val="00A11E2B"/>
    <w:rsid w:val="00A14732"/>
    <w:rsid w:val="00A17E7F"/>
    <w:rsid w:val="00A21A0D"/>
    <w:rsid w:val="00A24C6F"/>
    <w:rsid w:val="00A2643E"/>
    <w:rsid w:val="00A30BA0"/>
    <w:rsid w:val="00A348C8"/>
    <w:rsid w:val="00A355AF"/>
    <w:rsid w:val="00A355FC"/>
    <w:rsid w:val="00A4381C"/>
    <w:rsid w:val="00A44A86"/>
    <w:rsid w:val="00A477D5"/>
    <w:rsid w:val="00A50783"/>
    <w:rsid w:val="00A51DCC"/>
    <w:rsid w:val="00A527F6"/>
    <w:rsid w:val="00A5450C"/>
    <w:rsid w:val="00A5789F"/>
    <w:rsid w:val="00A61121"/>
    <w:rsid w:val="00A613DF"/>
    <w:rsid w:val="00A61B53"/>
    <w:rsid w:val="00A647F9"/>
    <w:rsid w:val="00A659EC"/>
    <w:rsid w:val="00A669FA"/>
    <w:rsid w:val="00A67006"/>
    <w:rsid w:val="00A6749D"/>
    <w:rsid w:val="00A67ECB"/>
    <w:rsid w:val="00A72554"/>
    <w:rsid w:val="00A745A2"/>
    <w:rsid w:val="00A7552E"/>
    <w:rsid w:val="00A7693C"/>
    <w:rsid w:val="00A76C7C"/>
    <w:rsid w:val="00A81BD4"/>
    <w:rsid w:val="00A81C35"/>
    <w:rsid w:val="00A83000"/>
    <w:rsid w:val="00A852BE"/>
    <w:rsid w:val="00A867FD"/>
    <w:rsid w:val="00A86DDB"/>
    <w:rsid w:val="00A8721C"/>
    <w:rsid w:val="00A91BAB"/>
    <w:rsid w:val="00A9461E"/>
    <w:rsid w:val="00A94D7A"/>
    <w:rsid w:val="00A95869"/>
    <w:rsid w:val="00A9595B"/>
    <w:rsid w:val="00A960FE"/>
    <w:rsid w:val="00A979D4"/>
    <w:rsid w:val="00A97B57"/>
    <w:rsid w:val="00A97EDE"/>
    <w:rsid w:val="00AA042D"/>
    <w:rsid w:val="00AA1EEB"/>
    <w:rsid w:val="00AA5D15"/>
    <w:rsid w:val="00AA70AF"/>
    <w:rsid w:val="00AB4023"/>
    <w:rsid w:val="00AB4FA1"/>
    <w:rsid w:val="00AB5D2E"/>
    <w:rsid w:val="00AB6FB4"/>
    <w:rsid w:val="00AC047C"/>
    <w:rsid w:val="00AC07B8"/>
    <w:rsid w:val="00AC1A52"/>
    <w:rsid w:val="00AC2675"/>
    <w:rsid w:val="00AC6EA2"/>
    <w:rsid w:val="00AC792C"/>
    <w:rsid w:val="00AC7DF7"/>
    <w:rsid w:val="00AD23B6"/>
    <w:rsid w:val="00AD2436"/>
    <w:rsid w:val="00AD4DA2"/>
    <w:rsid w:val="00AD53E3"/>
    <w:rsid w:val="00AD5C6D"/>
    <w:rsid w:val="00AD5FAD"/>
    <w:rsid w:val="00AE27F1"/>
    <w:rsid w:val="00AE3759"/>
    <w:rsid w:val="00AE3CB4"/>
    <w:rsid w:val="00AE3CE9"/>
    <w:rsid w:val="00AE3FF4"/>
    <w:rsid w:val="00AE42F5"/>
    <w:rsid w:val="00AE714F"/>
    <w:rsid w:val="00AF1310"/>
    <w:rsid w:val="00AF1588"/>
    <w:rsid w:val="00AF1F73"/>
    <w:rsid w:val="00AF292C"/>
    <w:rsid w:val="00AF5D41"/>
    <w:rsid w:val="00AF6773"/>
    <w:rsid w:val="00AF6AB9"/>
    <w:rsid w:val="00AF7BB2"/>
    <w:rsid w:val="00B00B15"/>
    <w:rsid w:val="00B02BAA"/>
    <w:rsid w:val="00B02DC3"/>
    <w:rsid w:val="00B033AB"/>
    <w:rsid w:val="00B05B96"/>
    <w:rsid w:val="00B107AF"/>
    <w:rsid w:val="00B127F9"/>
    <w:rsid w:val="00B128C2"/>
    <w:rsid w:val="00B12FC4"/>
    <w:rsid w:val="00B15CBB"/>
    <w:rsid w:val="00B16038"/>
    <w:rsid w:val="00B1635A"/>
    <w:rsid w:val="00B16369"/>
    <w:rsid w:val="00B16419"/>
    <w:rsid w:val="00B173CB"/>
    <w:rsid w:val="00B23CC1"/>
    <w:rsid w:val="00B25873"/>
    <w:rsid w:val="00B3072C"/>
    <w:rsid w:val="00B30DC7"/>
    <w:rsid w:val="00B32D92"/>
    <w:rsid w:val="00B337AC"/>
    <w:rsid w:val="00B341EA"/>
    <w:rsid w:val="00B3561A"/>
    <w:rsid w:val="00B362B6"/>
    <w:rsid w:val="00B36EEC"/>
    <w:rsid w:val="00B40BF6"/>
    <w:rsid w:val="00B416AF"/>
    <w:rsid w:val="00B4366C"/>
    <w:rsid w:val="00B451AB"/>
    <w:rsid w:val="00B46C51"/>
    <w:rsid w:val="00B4723D"/>
    <w:rsid w:val="00B472DF"/>
    <w:rsid w:val="00B52906"/>
    <w:rsid w:val="00B5432C"/>
    <w:rsid w:val="00B547B9"/>
    <w:rsid w:val="00B57543"/>
    <w:rsid w:val="00B576E5"/>
    <w:rsid w:val="00B628C6"/>
    <w:rsid w:val="00B6394F"/>
    <w:rsid w:val="00B63DBA"/>
    <w:rsid w:val="00B6517C"/>
    <w:rsid w:val="00B67723"/>
    <w:rsid w:val="00B72534"/>
    <w:rsid w:val="00B7638C"/>
    <w:rsid w:val="00B77AED"/>
    <w:rsid w:val="00B77B52"/>
    <w:rsid w:val="00B81432"/>
    <w:rsid w:val="00B868FC"/>
    <w:rsid w:val="00B8701A"/>
    <w:rsid w:val="00B90AFF"/>
    <w:rsid w:val="00B90C73"/>
    <w:rsid w:val="00B915C8"/>
    <w:rsid w:val="00B916BA"/>
    <w:rsid w:val="00B91E8B"/>
    <w:rsid w:val="00B92CD8"/>
    <w:rsid w:val="00BA3EC8"/>
    <w:rsid w:val="00BA4075"/>
    <w:rsid w:val="00BA4D72"/>
    <w:rsid w:val="00BA5CC1"/>
    <w:rsid w:val="00BB22D5"/>
    <w:rsid w:val="00BB3008"/>
    <w:rsid w:val="00BB3C9A"/>
    <w:rsid w:val="00BB6E6E"/>
    <w:rsid w:val="00BB6F59"/>
    <w:rsid w:val="00BB7344"/>
    <w:rsid w:val="00BC077B"/>
    <w:rsid w:val="00BC2F32"/>
    <w:rsid w:val="00BC425A"/>
    <w:rsid w:val="00BC6511"/>
    <w:rsid w:val="00BC6E1C"/>
    <w:rsid w:val="00BC782B"/>
    <w:rsid w:val="00BD12C2"/>
    <w:rsid w:val="00BD23AD"/>
    <w:rsid w:val="00BD28B6"/>
    <w:rsid w:val="00BD2B2E"/>
    <w:rsid w:val="00BD707E"/>
    <w:rsid w:val="00BE0B12"/>
    <w:rsid w:val="00BE20D7"/>
    <w:rsid w:val="00BE20DD"/>
    <w:rsid w:val="00BE2897"/>
    <w:rsid w:val="00BE3039"/>
    <w:rsid w:val="00BE42CC"/>
    <w:rsid w:val="00BE4FB5"/>
    <w:rsid w:val="00BE5B0F"/>
    <w:rsid w:val="00BE76D7"/>
    <w:rsid w:val="00BF012A"/>
    <w:rsid w:val="00BF0CD1"/>
    <w:rsid w:val="00BF23E3"/>
    <w:rsid w:val="00BF2BB6"/>
    <w:rsid w:val="00BF578E"/>
    <w:rsid w:val="00BF6D93"/>
    <w:rsid w:val="00C02A08"/>
    <w:rsid w:val="00C040DA"/>
    <w:rsid w:val="00C064BA"/>
    <w:rsid w:val="00C06FD8"/>
    <w:rsid w:val="00C07012"/>
    <w:rsid w:val="00C07DCF"/>
    <w:rsid w:val="00C103CE"/>
    <w:rsid w:val="00C16089"/>
    <w:rsid w:val="00C20351"/>
    <w:rsid w:val="00C22964"/>
    <w:rsid w:val="00C23F94"/>
    <w:rsid w:val="00C2577C"/>
    <w:rsid w:val="00C261DE"/>
    <w:rsid w:val="00C26598"/>
    <w:rsid w:val="00C26EE1"/>
    <w:rsid w:val="00C30206"/>
    <w:rsid w:val="00C30725"/>
    <w:rsid w:val="00C316C9"/>
    <w:rsid w:val="00C31780"/>
    <w:rsid w:val="00C320F3"/>
    <w:rsid w:val="00C32E32"/>
    <w:rsid w:val="00C34896"/>
    <w:rsid w:val="00C422A4"/>
    <w:rsid w:val="00C422B0"/>
    <w:rsid w:val="00C422D9"/>
    <w:rsid w:val="00C47234"/>
    <w:rsid w:val="00C53440"/>
    <w:rsid w:val="00C5682F"/>
    <w:rsid w:val="00C569B8"/>
    <w:rsid w:val="00C60938"/>
    <w:rsid w:val="00C60B4B"/>
    <w:rsid w:val="00C61201"/>
    <w:rsid w:val="00C62020"/>
    <w:rsid w:val="00C63010"/>
    <w:rsid w:val="00C67305"/>
    <w:rsid w:val="00C7231F"/>
    <w:rsid w:val="00C72359"/>
    <w:rsid w:val="00C73F6B"/>
    <w:rsid w:val="00C75FFC"/>
    <w:rsid w:val="00C76F82"/>
    <w:rsid w:val="00C80404"/>
    <w:rsid w:val="00C84B01"/>
    <w:rsid w:val="00C85D0C"/>
    <w:rsid w:val="00C86172"/>
    <w:rsid w:val="00C874AE"/>
    <w:rsid w:val="00C901D3"/>
    <w:rsid w:val="00C90394"/>
    <w:rsid w:val="00C91B37"/>
    <w:rsid w:val="00C93B50"/>
    <w:rsid w:val="00C93C3D"/>
    <w:rsid w:val="00C957E2"/>
    <w:rsid w:val="00C96277"/>
    <w:rsid w:val="00C975FB"/>
    <w:rsid w:val="00C979D2"/>
    <w:rsid w:val="00CA18EF"/>
    <w:rsid w:val="00CA2232"/>
    <w:rsid w:val="00CA2BA8"/>
    <w:rsid w:val="00CB0D90"/>
    <w:rsid w:val="00CB0F4A"/>
    <w:rsid w:val="00CB12B6"/>
    <w:rsid w:val="00CB77B1"/>
    <w:rsid w:val="00CB7923"/>
    <w:rsid w:val="00CC018E"/>
    <w:rsid w:val="00CC37C2"/>
    <w:rsid w:val="00CC4A75"/>
    <w:rsid w:val="00CC5854"/>
    <w:rsid w:val="00CC5FAC"/>
    <w:rsid w:val="00CC60F7"/>
    <w:rsid w:val="00CC6146"/>
    <w:rsid w:val="00CD1CB8"/>
    <w:rsid w:val="00CD3CE7"/>
    <w:rsid w:val="00CD4F6F"/>
    <w:rsid w:val="00CD5399"/>
    <w:rsid w:val="00CE0458"/>
    <w:rsid w:val="00CE112A"/>
    <w:rsid w:val="00CE21CB"/>
    <w:rsid w:val="00CE233E"/>
    <w:rsid w:val="00CE264E"/>
    <w:rsid w:val="00CE496B"/>
    <w:rsid w:val="00CE5424"/>
    <w:rsid w:val="00CE703F"/>
    <w:rsid w:val="00CE7E82"/>
    <w:rsid w:val="00CF116C"/>
    <w:rsid w:val="00CF19B5"/>
    <w:rsid w:val="00CF2E6E"/>
    <w:rsid w:val="00D00B54"/>
    <w:rsid w:val="00D01F3D"/>
    <w:rsid w:val="00D03865"/>
    <w:rsid w:val="00D03DEF"/>
    <w:rsid w:val="00D054EC"/>
    <w:rsid w:val="00D0631D"/>
    <w:rsid w:val="00D07CCE"/>
    <w:rsid w:val="00D1004E"/>
    <w:rsid w:val="00D11A88"/>
    <w:rsid w:val="00D12CD2"/>
    <w:rsid w:val="00D12F02"/>
    <w:rsid w:val="00D12F4B"/>
    <w:rsid w:val="00D137C8"/>
    <w:rsid w:val="00D13810"/>
    <w:rsid w:val="00D14B1D"/>
    <w:rsid w:val="00D14B8B"/>
    <w:rsid w:val="00D1672B"/>
    <w:rsid w:val="00D21D34"/>
    <w:rsid w:val="00D259B7"/>
    <w:rsid w:val="00D25AD5"/>
    <w:rsid w:val="00D27725"/>
    <w:rsid w:val="00D30156"/>
    <w:rsid w:val="00D3038E"/>
    <w:rsid w:val="00D30C83"/>
    <w:rsid w:val="00D31257"/>
    <w:rsid w:val="00D314BC"/>
    <w:rsid w:val="00D319FB"/>
    <w:rsid w:val="00D33679"/>
    <w:rsid w:val="00D35714"/>
    <w:rsid w:val="00D35B53"/>
    <w:rsid w:val="00D3788F"/>
    <w:rsid w:val="00D37F56"/>
    <w:rsid w:val="00D40459"/>
    <w:rsid w:val="00D425ED"/>
    <w:rsid w:val="00D4590F"/>
    <w:rsid w:val="00D46B65"/>
    <w:rsid w:val="00D479DC"/>
    <w:rsid w:val="00D532D6"/>
    <w:rsid w:val="00D53375"/>
    <w:rsid w:val="00D53478"/>
    <w:rsid w:val="00D53A5A"/>
    <w:rsid w:val="00D556C2"/>
    <w:rsid w:val="00D615A2"/>
    <w:rsid w:val="00D617A4"/>
    <w:rsid w:val="00D61E7E"/>
    <w:rsid w:val="00D62DC8"/>
    <w:rsid w:val="00D63689"/>
    <w:rsid w:val="00D636CC"/>
    <w:rsid w:val="00D65A85"/>
    <w:rsid w:val="00D672C0"/>
    <w:rsid w:val="00D70726"/>
    <w:rsid w:val="00D70B67"/>
    <w:rsid w:val="00D70F94"/>
    <w:rsid w:val="00D73637"/>
    <w:rsid w:val="00D73CAD"/>
    <w:rsid w:val="00D746D3"/>
    <w:rsid w:val="00D75C21"/>
    <w:rsid w:val="00D763E8"/>
    <w:rsid w:val="00D766B5"/>
    <w:rsid w:val="00D76EF8"/>
    <w:rsid w:val="00D80C51"/>
    <w:rsid w:val="00D829D2"/>
    <w:rsid w:val="00D837F9"/>
    <w:rsid w:val="00D83C9C"/>
    <w:rsid w:val="00D84EFA"/>
    <w:rsid w:val="00D85633"/>
    <w:rsid w:val="00D92887"/>
    <w:rsid w:val="00D93843"/>
    <w:rsid w:val="00D944D7"/>
    <w:rsid w:val="00D946A4"/>
    <w:rsid w:val="00D96429"/>
    <w:rsid w:val="00DA19AA"/>
    <w:rsid w:val="00DA2C89"/>
    <w:rsid w:val="00DA347E"/>
    <w:rsid w:val="00DA5DEF"/>
    <w:rsid w:val="00DA613F"/>
    <w:rsid w:val="00DA7758"/>
    <w:rsid w:val="00DB0104"/>
    <w:rsid w:val="00DB1467"/>
    <w:rsid w:val="00DB15A5"/>
    <w:rsid w:val="00DB2503"/>
    <w:rsid w:val="00DB3235"/>
    <w:rsid w:val="00DB48D0"/>
    <w:rsid w:val="00DB4BAF"/>
    <w:rsid w:val="00DC15B8"/>
    <w:rsid w:val="00DC167E"/>
    <w:rsid w:val="00DC235C"/>
    <w:rsid w:val="00DC255C"/>
    <w:rsid w:val="00DC30D1"/>
    <w:rsid w:val="00DC7E72"/>
    <w:rsid w:val="00DD0ED4"/>
    <w:rsid w:val="00DD2867"/>
    <w:rsid w:val="00DD441B"/>
    <w:rsid w:val="00DD5346"/>
    <w:rsid w:val="00DD55A2"/>
    <w:rsid w:val="00DD776D"/>
    <w:rsid w:val="00DE3467"/>
    <w:rsid w:val="00DE7703"/>
    <w:rsid w:val="00DE7739"/>
    <w:rsid w:val="00DF1F2D"/>
    <w:rsid w:val="00DF2A66"/>
    <w:rsid w:val="00DF2A8F"/>
    <w:rsid w:val="00DF5C08"/>
    <w:rsid w:val="00DF739A"/>
    <w:rsid w:val="00E00BB3"/>
    <w:rsid w:val="00E056E1"/>
    <w:rsid w:val="00E06BFE"/>
    <w:rsid w:val="00E0733F"/>
    <w:rsid w:val="00E10D9D"/>
    <w:rsid w:val="00E118F1"/>
    <w:rsid w:val="00E15D8B"/>
    <w:rsid w:val="00E22A9B"/>
    <w:rsid w:val="00E23AD8"/>
    <w:rsid w:val="00E25446"/>
    <w:rsid w:val="00E2754F"/>
    <w:rsid w:val="00E305EB"/>
    <w:rsid w:val="00E30E65"/>
    <w:rsid w:val="00E311DE"/>
    <w:rsid w:val="00E33B79"/>
    <w:rsid w:val="00E34494"/>
    <w:rsid w:val="00E373DD"/>
    <w:rsid w:val="00E41D93"/>
    <w:rsid w:val="00E424B0"/>
    <w:rsid w:val="00E42518"/>
    <w:rsid w:val="00E42D7E"/>
    <w:rsid w:val="00E4530B"/>
    <w:rsid w:val="00E458AA"/>
    <w:rsid w:val="00E47BA8"/>
    <w:rsid w:val="00E50EBB"/>
    <w:rsid w:val="00E52496"/>
    <w:rsid w:val="00E53390"/>
    <w:rsid w:val="00E5348D"/>
    <w:rsid w:val="00E55028"/>
    <w:rsid w:val="00E565A8"/>
    <w:rsid w:val="00E6201E"/>
    <w:rsid w:val="00E66BBC"/>
    <w:rsid w:val="00E66E06"/>
    <w:rsid w:val="00E67419"/>
    <w:rsid w:val="00E67B1F"/>
    <w:rsid w:val="00E72D86"/>
    <w:rsid w:val="00E73D72"/>
    <w:rsid w:val="00E74B4A"/>
    <w:rsid w:val="00E75A03"/>
    <w:rsid w:val="00E7793B"/>
    <w:rsid w:val="00E77DE0"/>
    <w:rsid w:val="00E8068D"/>
    <w:rsid w:val="00E80E9C"/>
    <w:rsid w:val="00E811D5"/>
    <w:rsid w:val="00E82ECA"/>
    <w:rsid w:val="00E8392D"/>
    <w:rsid w:val="00E85438"/>
    <w:rsid w:val="00E85930"/>
    <w:rsid w:val="00E8630B"/>
    <w:rsid w:val="00E86860"/>
    <w:rsid w:val="00E8708A"/>
    <w:rsid w:val="00E871A3"/>
    <w:rsid w:val="00E8757F"/>
    <w:rsid w:val="00E90145"/>
    <w:rsid w:val="00E90E33"/>
    <w:rsid w:val="00E92894"/>
    <w:rsid w:val="00E94C15"/>
    <w:rsid w:val="00E9579B"/>
    <w:rsid w:val="00E97E66"/>
    <w:rsid w:val="00EA1B73"/>
    <w:rsid w:val="00EA5DF4"/>
    <w:rsid w:val="00EA68E6"/>
    <w:rsid w:val="00EA6E1C"/>
    <w:rsid w:val="00EB21C8"/>
    <w:rsid w:val="00EB3374"/>
    <w:rsid w:val="00EB409E"/>
    <w:rsid w:val="00EB5B1D"/>
    <w:rsid w:val="00EC0244"/>
    <w:rsid w:val="00EC0E9E"/>
    <w:rsid w:val="00EC184B"/>
    <w:rsid w:val="00EC2E18"/>
    <w:rsid w:val="00EC43D7"/>
    <w:rsid w:val="00EC494E"/>
    <w:rsid w:val="00EC77CE"/>
    <w:rsid w:val="00ED05F0"/>
    <w:rsid w:val="00ED163C"/>
    <w:rsid w:val="00ED186C"/>
    <w:rsid w:val="00ED4B6F"/>
    <w:rsid w:val="00ED5F3F"/>
    <w:rsid w:val="00ED6541"/>
    <w:rsid w:val="00ED7885"/>
    <w:rsid w:val="00EE3EAC"/>
    <w:rsid w:val="00EE49EC"/>
    <w:rsid w:val="00EE5DDA"/>
    <w:rsid w:val="00EE5E65"/>
    <w:rsid w:val="00EF1184"/>
    <w:rsid w:val="00EF1387"/>
    <w:rsid w:val="00EF1DFE"/>
    <w:rsid w:val="00EF2032"/>
    <w:rsid w:val="00EF3DE5"/>
    <w:rsid w:val="00EF454A"/>
    <w:rsid w:val="00EF5741"/>
    <w:rsid w:val="00F00520"/>
    <w:rsid w:val="00F03E53"/>
    <w:rsid w:val="00F04963"/>
    <w:rsid w:val="00F05C70"/>
    <w:rsid w:val="00F11FB5"/>
    <w:rsid w:val="00F12CD2"/>
    <w:rsid w:val="00F176D6"/>
    <w:rsid w:val="00F1788F"/>
    <w:rsid w:val="00F207FA"/>
    <w:rsid w:val="00F21E64"/>
    <w:rsid w:val="00F23621"/>
    <w:rsid w:val="00F23937"/>
    <w:rsid w:val="00F23B3E"/>
    <w:rsid w:val="00F23D00"/>
    <w:rsid w:val="00F23D17"/>
    <w:rsid w:val="00F23F63"/>
    <w:rsid w:val="00F263E9"/>
    <w:rsid w:val="00F2713E"/>
    <w:rsid w:val="00F2758A"/>
    <w:rsid w:val="00F32042"/>
    <w:rsid w:val="00F33D5B"/>
    <w:rsid w:val="00F36F6C"/>
    <w:rsid w:val="00F40523"/>
    <w:rsid w:val="00F4200F"/>
    <w:rsid w:val="00F428AD"/>
    <w:rsid w:val="00F463B9"/>
    <w:rsid w:val="00F46554"/>
    <w:rsid w:val="00F46C88"/>
    <w:rsid w:val="00F47CBD"/>
    <w:rsid w:val="00F5206D"/>
    <w:rsid w:val="00F52D72"/>
    <w:rsid w:val="00F53E81"/>
    <w:rsid w:val="00F55D25"/>
    <w:rsid w:val="00F56B1B"/>
    <w:rsid w:val="00F56B99"/>
    <w:rsid w:val="00F618BD"/>
    <w:rsid w:val="00F62766"/>
    <w:rsid w:val="00F636D7"/>
    <w:rsid w:val="00F6401F"/>
    <w:rsid w:val="00F6554B"/>
    <w:rsid w:val="00F66A92"/>
    <w:rsid w:val="00F733EB"/>
    <w:rsid w:val="00F735FE"/>
    <w:rsid w:val="00F73C9E"/>
    <w:rsid w:val="00F74BE9"/>
    <w:rsid w:val="00F752A4"/>
    <w:rsid w:val="00F75C93"/>
    <w:rsid w:val="00F766A8"/>
    <w:rsid w:val="00F77A18"/>
    <w:rsid w:val="00F81FA0"/>
    <w:rsid w:val="00F82258"/>
    <w:rsid w:val="00F8239D"/>
    <w:rsid w:val="00F83D5E"/>
    <w:rsid w:val="00F84B1B"/>
    <w:rsid w:val="00F858CC"/>
    <w:rsid w:val="00F87AAC"/>
    <w:rsid w:val="00F90FB3"/>
    <w:rsid w:val="00F93F43"/>
    <w:rsid w:val="00F94F55"/>
    <w:rsid w:val="00F94FB3"/>
    <w:rsid w:val="00F962B7"/>
    <w:rsid w:val="00FA5B84"/>
    <w:rsid w:val="00FA6725"/>
    <w:rsid w:val="00FA717A"/>
    <w:rsid w:val="00FB25C2"/>
    <w:rsid w:val="00FB34DC"/>
    <w:rsid w:val="00FB3FF8"/>
    <w:rsid w:val="00FB477C"/>
    <w:rsid w:val="00FB55CC"/>
    <w:rsid w:val="00FB57EE"/>
    <w:rsid w:val="00FB6534"/>
    <w:rsid w:val="00FC2475"/>
    <w:rsid w:val="00FC40F5"/>
    <w:rsid w:val="00FD3C3C"/>
    <w:rsid w:val="00FD3E8D"/>
    <w:rsid w:val="00FD4EC1"/>
    <w:rsid w:val="00FD52F0"/>
    <w:rsid w:val="00FD70E8"/>
    <w:rsid w:val="00FD7396"/>
    <w:rsid w:val="00FD7936"/>
    <w:rsid w:val="00FE056C"/>
    <w:rsid w:val="00FE202F"/>
    <w:rsid w:val="00FE204D"/>
    <w:rsid w:val="00FE2394"/>
    <w:rsid w:val="00FE4B25"/>
    <w:rsid w:val="00FE5D44"/>
    <w:rsid w:val="00FE643A"/>
    <w:rsid w:val="00FE744E"/>
    <w:rsid w:val="00FE762C"/>
    <w:rsid w:val="00FF1275"/>
    <w:rsid w:val="00FF2641"/>
    <w:rsid w:val="00FF2BA2"/>
    <w:rsid w:val="00FF2EB9"/>
    <w:rsid w:val="00FF4219"/>
    <w:rsid w:val="00FF5912"/>
    <w:rsid w:val="00FF642F"/>
    <w:rsid w:val="00FF7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0808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A45E7"/>
  </w:style>
  <w:style w:type="character" w:customStyle="1" w:styleId="FootnoteTextChar">
    <w:name w:val="Footnote Text Char"/>
    <w:basedOn w:val="DefaultParagraphFont"/>
    <w:link w:val="FootnoteText"/>
    <w:uiPriority w:val="99"/>
    <w:rsid w:val="006A45E7"/>
  </w:style>
  <w:style w:type="character" w:styleId="FootnoteReference">
    <w:name w:val="footnote reference"/>
    <w:basedOn w:val="DefaultParagraphFont"/>
    <w:uiPriority w:val="99"/>
    <w:unhideWhenUsed/>
    <w:rsid w:val="006A45E7"/>
    <w:rPr>
      <w:vertAlign w:val="superscript"/>
    </w:rPr>
  </w:style>
  <w:style w:type="character" w:styleId="Hyperlink">
    <w:name w:val="Hyperlink"/>
    <w:basedOn w:val="DefaultParagraphFont"/>
    <w:uiPriority w:val="99"/>
    <w:unhideWhenUsed/>
    <w:rsid w:val="00D65A85"/>
    <w:rPr>
      <w:color w:val="0000FF" w:themeColor="hyperlink"/>
      <w:u w:val="single"/>
    </w:rPr>
  </w:style>
  <w:style w:type="character" w:styleId="FollowedHyperlink">
    <w:name w:val="FollowedHyperlink"/>
    <w:basedOn w:val="DefaultParagraphFont"/>
    <w:uiPriority w:val="99"/>
    <w:semiHidden/>
    <w:unhideWhenUsed/>
    <w:rsid w:val="00B628C6"/>
    <w:rPr>
      <w:color w:val="800080" w:themeColor="followedHyperlink"/>
      <w:u w:val="single"/>
    </w:rPr>
  </w:style>
  <w:style w:type="paragraph" w:styleId="Footer">
    <w:name w:val="footer"/>
    <w:basedOn w:val="Normal"/>
    <w:link w:val="FooterChar"/>
    <w:uiPriority w:val="99"/>
    <w:unhideWhenUsed/>
    <w:rsid w:val="004B6953"/>
    <w:pPr>
      <w:tabs>
        <w:tab w:val="center" w:pos="4320"/>
        <w:tab w:val="right" w:pos="8640"/>
      </w:tabs>
    </w:pPr>
  </w:style>
  <w:style w:type="character" w:customStyle="1" w:styleId="FooterChar">
    <w:name w:val="Footer Char"/>
    <w:basedOn w:val="DefaultParagraphFont"/>
    <w:link w:val="Footer"/>
    <w:uiPriority w:val="99"/>
    <w:rsid w:val="004B6953"/>
  </w:style>
  <w:style w:type="character" w:styleId="PageNumber">
    <w:name w:val="page number"/>
    <w:basedOn w:val="DefaultParagraphFont"/>
    <w:uiPriority w:val="99"/>
    <w:semiHidden/>
    <w:unhideWhenUsed/>
    <w:rsid w:val="004B6953"/>
  </w:style>
  <w:style w:type="paragraph" w:styleId="ListParagraph">
    <w:name w:val="List Paragraph"/>
    <w:basedOn w:val="Normal"/>
    <w:uiPriority w:val="34"/>
    <w:qFormat/>
    <w:rsid w:val="001C3C84"/>
    <w:pPr>
      <w:ind w:left="720"/>
      <w:contextualSpacing/>
    </w:pPr>
  </w:style>
  <w:style w:type="character" w:styleId="CommentReference">
    <w:name w:val="annotation reference"/>
    <w:basedOn w:val="DefaultParagraphFont"/>
    <w:uiPriority w:val="99"/>
    <w:semiHidden/>
    <w:unhideWhenUsed/>
    <w:rsid w:val="00F23937"/>
    <w:rPr>
      <w:sz w:val="18"/>
      <w:szCs w:val="18"/>
    </w:rPr>
  </w:style>
  <w:style w:type="paragraph" w:styleId="CommentText">
    <w:name w:val="annotation text"/>
    <w:basedOn w:val="Normal"/>
    <w:link w:val="CommentTextChar"/>
    <w:uiPriority w:val="99"/>
    <w:semiHidden/>
    <w:unhideWhenUsed/>
    <w:rsid w:val="00F23937"/>
  </w:style>
  <w:style w:type="character" w:customStyle="1" w:styleId="CommentTextChar">
    <w:name w:val="Comment Text Char"/>
    <w:basedOn w:val="DefaultParagraphFont"/>
    <w:link w:val="CommentText"/>
    <w:uiPriority w:val="99"/>
    <w:semiHidden/>
    <w:rsid w:val="00F23937"/>
  </w:style>
  <w:style w:type="paragraph" w:styleId="CommentSubject">
    <w:name w:val="annotation subject"/>
    <w:basedOn w:val="CommentText"/>
    <w:next w:val="CommentText"/>
    <w:link w:val="CommentSubjectChar"/>
    <w:uiPriority w:val="99"/>
    <w:semiHidden/>
    <w:unhideWhenUsed/>
    <w:rsid w:val="00F23937"/>
    <w:rPr>
      <w:b/>
      <w:bCs/>
      <w:sz w:val="20"/>
      <w:szCs w:val="20"/>
    </w:rPr>
  </w:style>
  <w:style w:type="character" w:customStyle="1" w:styleId="CommentSubjectChar">
    <w:name w:val="Comment Subject Char"/>
    <w:basedOn w:val="CommentTextChar"/>
    <w:link w:val="CommentSubject"/>
    <w:uiPriority w:val="99"/>
    <w:semiHidden/>
    <w:rsid w:val="00F23937"/>
    <w:rPr>
      <w:b/>
      <w:bCs/>
      <w:sz w:val="20"/>
      <w:szCs w:val="20"/>
    </w:rPr>
  </w:style>
  <w:style w:type="paragraph" w:styleId="BalloonText">
    <w:name w:val="Balloon Text"/>
    <w:basedOn w:val="Normal"/>
    <w:link w:val="BalloonTextChar"/>
    <w:uiPriority w:val="99"/>
    <w:semiHidden/>
    <w:unhideWhenUsed/>
    <w:rsid w:val="00F23937"/>
    <w:rPr>
      <w:rFonts w:ascii="Lucida Grande" w:hAnsi="Lucida Grande"/>
      <w:sz w:val="18"/>
      <w:szCs w:val="18"/>
    </w:rPr>
  </w:style>
  <w:style w:type="character" w:customStyle="1" w:styleId="BalloonTextChar">
    <w:name w:val="Balloon Text Char"/>
    <w:basedOn w:val="DefaultParagraphFont"/>
    <w:link w:val="BalloonText"/>
    <w:uiPriority w:val="99"/>
    <w:semiHidden/>
    <w:rsid w:val="00F23937"/>
    <w:rPr>
      <w:rFonts w:ascii="Lucida Grande" w:hAnsi="Lucida Grande"/>
      <w:sz w:val="18"/>
      <w:szCs w:val="18"/>
    </w:rPr>
  </w:style>
  <w:style w:type="paragraph" w:styleId="Revision">
    <w:name w:val="Revision"/>
    <w:hidden/>
    <w:uiPriority w:val="99"/>
    <w:semiHidden/>
    <w:rsid w:val="00084124"/>
  </w:style>
  <w:style w:type="paragraph" w:styleId="Header">
    <w:name w:val="header"/>
    <w:basedOn w:val="Normal"/>
    <w:link w:val="HeaderChar"/>
    <w:uiPriority w:val="99"/>
    <w:unhideWhenUsed/>
    <w:rsid w:val="00084124"/>
    <w:pPr>
      <w:tabs>
        <w:tab w:val="center" w:pos="4320"/>
        <w:tab w:val="right" w:pos="8640"/>
      </w:tabs>
    </w:pPr>
  </w:style>
  <w:style w:type="character" w:customStyle="1" w:styleId="HeaderChar">
    <w:name w:val="Header Char"/>
    <w:basedOn w:val="DefaultParagraphFont"/>
    <w:link w:val="Header"/>
    <w:uiPriority w:val="99"/>
    <w:rsid w:val="000841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A45E7"/>
  </w:style>
  <w:style w:type="character" w:customStyle="1" w:styleId="FootnoteTextChar">
    <w:name w:val="Footnote Text Char"/>
    <w:basedOn w:val="DefaultParagraphFont"/>
    <w:link w:val="FootnoteText"/>
    <w:uiPriority w:val="99"/>
    <w:rsid w:val="006A45E7"/>
  </w:style>
  <w:style w:type="character" w:styleId="FootnoteReference">
    <w:name w:val="footnote reference"/>
    <w:basedOn w:val="DefaultParagraphFont"/>
    <w:uiPriority w:val="99"/>
    <w:unhideWhenUsed/>
    <w:rsid w:val="006A45E7"/>
    <w:rPr>
      <w:vertAlign w:val="superscript"/>
    </w:rPr>
  </w:style>
  <w:style w:type="character" w:styleId="Hyperlink">
    <w:name w:val="Hyperlink"/>
    <w:basedOn w:val="DefaultParagraphFont"/>
    <w:uiPriority w:val="99"/>
    <w:unhideWhenUsed/>
    <w:rsid w:val="00D65A85"/>
    <w:rPr>
      <w:color w:val="0000FF" w:themeColor="hyperlink"/>
      <w:u w:val="single"/>
    </w:rPr>
  </w:style>
  <w:style w:type="character" w:styleId="FollowedHyperlink">
    <w:name w:val="FollowedHyperlink"/>
    <w:basedOn w:val="DefaultParagraphFont"/>
    <w:uiPriority w:val="99"/>
    <w:semiHidden/>
    <w:unhideWhenUsed/>
    <w:rsid w:val="00B628C6"/>
    <w:rPr>
      <w:color w:val="800080" w:themeColor="followedHyperlink"/>
      <w:u w:val="single"/>
    </w:rPr>
  </w:style>
  <w:style w:type="paragraph" w:styleId="Footer">
    <w:name w:val="footer"/>
    <w:basedOn w:val="Normal"/>
    <w:link w:val="FooterChar"/>
    <w:uiPriority w:val="99"/>
    <w:unhideWhenUsed/>
    <w:rsid w:val="004B6953"/>
    <w:pPr>
      <w:tabs>
        <w:tab w:val="center" w:pos="4320"/>
        <w:tab w:val="right" w:pos="8640"/>
      </w:tabs>
    </w:pPr>
  </w:style>
  <w:style w:type="character" w:customStyle="1" w:styleId="FooterChar">
    <w:name w:val="Footer Char"/>
    <w:basedOn w:val="DefaultParagraphFont"/>
    <w:link w:val="Footer"/>
    <w:uiPriority w:val="99"/>
    <w:rsid w:val="004B6953"/>
  </w:style>
  <w:style w:type="character" w:styleId="PageNumber">
    <w:name w:val="page number"/>
    <w:basedOn w:val="DefaultParagraphFont"/>
    <w:uiPriority w:val="99"/>
    <w:semiHidden/>
    <w:unhideWhenUsed/>
    <w:rsid w:val="004B6953"/>
  </w:style>
  <w:style w:type="paragraph" w:styleId="ListParagraph">
    <w:name w:val="List Paragraph"/>
    <w:basedOn w:val="Normal"/>
    <w:uiPriority w:val="34"/>
    <w:qFormat/>
    <w:rsid w:val="001C3C84"/>
    <w:pPr>
      <w:ind w:left="720"/>
      <w:contextualSpacing/>
    </w:pPr>
  </w:style>
  <w:style w:type="character" w:styleId="CommentReference">
    <w:name w:val="annotation reference"/>
    <w:basedOn w:val="DefaultParagraphFont"/>
    <w:uiPriority w:val="99"/>
    <w:semiHidden/>
    <w:unhideWhenUsed/>
    <w:rsid w:val="00F23937"/>
    <w:rPr>
      <w:sz w:val="18"/>
      <w:szCs w:val="18"/>
    </w:rPr>
  </w:style>
  <w:style w:type="paragraph" w:styleId="CommentText">
    <w:name w:val="annotation text"/>
    <w:basedOn w:val="Normal"/>
    <w:link w:val="CommentTextChar"/>
    <w:uiPriority w:val="99"/>
    <w:semiHidden/>
    <w:unhideWhenUsed/>
    <w:rsid w:val="00F23937"/>
  </w:style>
  <w:style w:type="character" w:customStyle="1" w:styleId="CommentTextChar">
    <w:name w:val="Comment Text Char"/>
    <w:basedOn w:val="DefaultParagraphFont"/>
    <w:link w:val="CommentText"/>
    <w:uiPriority w:val="99"/>
    <w:semiHidden/>
    <w:rsid w:val="00F23937"/>
  </w:style>
  <w:style w:type="paragraph" w:styleId="CommentSubject">
    <w:name w:val="annotation subject"/>
    <w:basedOn w:val="CommentText"/>
    <w:next w:val="CommentText"/>
    <w:link w:val="CommentSubjectChar"/>
    <w:uiPriority w:val="99"/>
    <w:semiHidden/>
    <w:unhideWhenUsed/>
    <w:rsid w:val="00F23937"/>
    <w:rPr>
      <w:b/>
      <w:bCs/>
      <w:sz w:val="20"/>
      <w:szCs w:val="20"/>
    </w:rPr>
  </w:style>
  <w:style w:type="character" w:customStyle="1" w:styleId="CommentSubjectChar">
    <w:name w:val="Comment Subject Char"/>
    <w:basedOn w:val="CommentTextChar"/>
    <w:link w:val="CommentSubject"/>
    <w:uiPriority w:val="99"/>
    <w:semiHidden/>
    <w:rsid w:val="00F23937"/>
    <w:rPr>
      <w:b/>
      <w:bCs/>
      <w:sz w:val="20"/>
      <w:szCs w:val="20"/>
    </w:rPr>
  </w:style>
  <w:style w:type="paragraph" w:styleId="BalloonText">
    <w:name w:val="Balloon Text"/>
    <w:basedOn w:val="Normal"/>
    <w:link w:val="BalloonTextChar"/>
    <w:uiPriority w:val="99"/>
    <w:semiHidden/>
    <w:unhideWhenUsed/>
    <w:rsid w:val="00F23937"/>
    <w:rPr>
      <w:rFonts w:ascii="Lucida Grande" w:hAnsi="Lucida Grande"/>
      <w:sz w:val="18"/>
      <w:szCs w:val="18"/>
    </w:rPr>
  </w:style>
  <w:style w:type="character" w:customStyle="1" w:styleId="BalloonTextChar">
    <w:name w:val="Balloon Text Char"/>
    <w:basedOn w:val="DefaultParagraphFont"/>
    <w:link w:val="BalloonText"/>
    <w:uiPriority w:val="99"/>
    <w:semiHidden/>
    <w:rsid w:val="00F23937"/>
    <w:rPr>
      <w:rFonts w:ascii="Lucida Grande" w:hAnsi="Lucida Grande"/>
      <w:sz w:val="18"/>
      <w:szCs w:val="18"/>
    </w:rPr>
  </w:style>
  <w:style w:type="paragraph" w:styleId="Revision">
    <w:name w:val="Revision"/>
    <w:hidden/>
    <w:uiPriority w:val="99"/>
    <w:semiHidden/>
    <w:rsid w:val="00084124"/>
  </w:style>
  <w:style w:type="paragraph" w:styleId="Header">
    <w:name w:val="header"/>
    <w:basedOn w:val="Normal"/>
    <w:link w:val="HeaderChar"/>
    <w:uiPriority w:val="99"/>
    <w:unhideWhenUsed/>
    <w:rsid w:val="00084124"/>
    <w:pPr>
      <w:tabs>
        <w:tab w:val="center" w:pos="4320"/>
        <w:tab w:val="right" w:pos="8640"/>
      </w:tabs>
    </w:pPr>
  </w:style>
  <w:style w:type="character" w:customStyle="1" w:styleId="HeaderChar">
    <w:name w:val="Header Char"/>
    <w:basedOn w:val="DefaultParagraphFont"/>
    <w:link w:val="Header"/>
    <w:uiPriority w:val="99"/>
    <w:rsid w:val="00084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6096">
      <w:bodyDiv w:val="1"/>
      <w:marLeft w:val="0"/>
      <w:marRight w:val="0"/>
      <w:marTop w:val="0"/>
      <w:marBottom w:val="0"/>
      <w:divBdr>
        <w:top w:val="none" w:sz="0" w:space="0" w:color="auto"/>
        <w:left w:val="none" w:sz="0" w:space="0" w:color="auto"/>
        <w:bottom w:val="none" w:sz="0" w:space="0" w:color="auto"/>
        <w:right w:val="none" w:sz="0" w:space="0" w:color="auto"/>
      </w:divBdr>
      <w:divsChild>
        <w:div w:id="232933934">
          <w:marLeft w:val="0"/>
          <w:marRight w:val="0"/>
          <w:marTop w:val="0"/>
          <w:marBottom w:val="0"/>
          <w:divBdr>
            <w:top w:val="none" w:sz="0" w:space="0" w:color="auto"/>
            <w:left w:val="none" w:sz="0" w:space="0" w:color="auto"/>
            <w:bottom w:val="none" w:sz="0" w:space="0" w:color="auto"/>
            <w:right w:val="none" w:sz="0" w:space="0" w:color="auto"/>
          </w:divBdr>
        </w:div>
        <w:div w:id="1872566098">
          <w:marLeft w:val="0"/>
          <w:marRight w:val="0"/>
          <w:marTop w:val="0"/>
          <w:marBottom w:val="0"/>
          <w:divBdr>
            <w:top w:val="none" w:sz="0" w:space="0" w:color="auto"/>
            <w:left w:val="none" w:sz="0" w:space="0" w:color="auto"/>
            <w:bottom w:val="none" w:sz="0" w:space="0" w:color="auto"/>
            <w:right w:val="none" w:sz="0" w:space="0" w:color="auto"/>
          </w:divBdr>
        </w:div>
        <w:div w:id="954092786">
          <w:marLeft w:val="0"/>
          <w:marRight w:val="0"/>
          <w:marTop w:val="0"/>
          <w:marBottom w:val="0"/>
          <w:divBdr>
            <w:top w:val="none" w:sz="0" w:space="0" w:color="auto"/>
            <w:left w:val="none" w:sz="0" w:space="0" w:color="auto"/>
            <w:bottom w:val="none" w:sz="0" w:space="0" w:color="auto"/>
            <w:right w:val="none" w:sz="0" w:space="0" w:color="auto"/>
          </w:divBdr>
        </w:div>
      </w:divsChild>
    </w:div>
    <w:div w:id="139198520">
      <w:bodyDiv w:val="1"/>
      <w:marLeft w:val="0"/>
      <w:marRight w:val="0"/>
      <w:marTop w:val="0"/>
      <w:marBottom w:val="0"/>
      <w:divBdr>
        <w:top w:val="none" w:sz="0" w:space="0" w:color="auto"/>
        <w:left w:val="none" w:sz="0" w:space="0" w:color="auto"/>
        <w:bottom w:val="none" w:sz="0" w:space="0" w:color="auto"/>
        <w:right w:val="none" w:sz="0" w:space="0" w:color="auto"/>
      </w:divBdr>
      <w:divsChild>
        <w:div w:id="77102038">
          <w:marLeft w:val="0"/>
          <w:marRight w:val="0"/>
          <w:marTop w:val="0"/>
          <w:marBottom w:val="0"/>
          <w:divBdr>
            <w:top w:val="none" w:sz="0" w:space="0" w:color="auto"/>
            <w:left w:val="none" w:sz="0" w:space="0" w:color="auto"/>
            <w:bottom w:val="none" w:sz="0" w:space="0" w:color="auto"/>
            <w:right w:val="none" w:sz="0" w:space="0" w:color="auto"/>
          </w:divBdr>
        </w:div>
        <w:div w:id="2091191214">
          <w:marLeft w:val="0"/>
          <w:marRight w:val="0"/>
          <w:marTop w:val="0"/>
          <w:marBottom w:val="0"/>
          <w:divBdr>
            <w:top w:val="none" w:sz="0" w:space="0" w:color="auto"/>
            <w:left w:val="none" w:sz="0" w:space="0" w:color="auto"/>
            <w:bottom w:val="none" w:sz="0" w:space="0" w:color="auto"/>
            <w:right w:val="none" w:sz="0" w:space="0" w:color="auto"/>
          </w:divBdr>
        </w:div>
        <w:div w:id="805666099">
          <w:marLeft w:val="0"/>
          <w:marRight w:val="0"/>
          <w:marTop w:val="0"/>
          <w:marBottom w:val="0"/>
          <w:divBdr>
            <w:top w:val="none" w:sz="0" w:space="0" w:color="auto"/>
            <w:left w:val="none" w:sz="0" w:space="0" w:color="auto"/>
            <w:bottom w:val="none" w:sz="0" w:space="0" w:color="auto"/>
            <w:right w:val="none" w:sz="0" w:space="0" w:color="auto"/>
          </w:divBdr>
        </w:div>
        <w:div w:id="1192768783">
          <w:marLeft w:val="0"/>
          <w:marRight w:val="0"/>
          <w:marTop w:val="0"/>
          <w:marBottom w:val="0"/>
          <w:divBdr>
            <w:top w:val="none" w:sz="0" w:space="0" w:color="auto"/>
            <w:left w:val="none" w:sz="0" w:space="0" w:color="auto"/>
            <w:bottom w:val="none" w:sz="0" w:space="0" w:color="auto"/>
            <w:right w:val="none" w:sz="0" w:space="0" w:color="auto"/>
          </w:divBdr>
        </w:div>
        <w:div w:id="104354138">
          <w:marLeft w:val="0"/>
          <w:marRight w:val="0"/>
          <w:marTop w:val="0"/>
          <w:marBottom w:val="0"/>
          <w:divBdr>
            <w:top w:val="none" w:sz="0" w:space="0" w:color="auto"/>
            <w:left w:val="none" w:sz="0" w:space="0" w:color="auto"/>
            <w:bottom w:val="none" w:sz="0" w:space="0" w:color="auto"/>
            <w:right w:val="none" w:sz="0" w:space="0" w:color="auto"/>
          </w:divBdr>
        </w:div>
      </w:divsChild>
    </w:div>
    <w:div w:id="155850464">
      <w:bodyDiv w:val="1"/>
      <w:marLeft w:val="0"/>
      <w:marRight w:val="0"/>
      <w:marTop w:val="0"/>
      <w:marBottom w:val="0"/>
      <w:divBdr>
        <w:top w:val="none" w:sz="0" w:space="0" w:color="auto"/>
        <w:left w:val="none" w:sz="0" w:space="0" w:color="auto"/>
        <w:bottom w:val="none" w:sz="0" w:space="0" w:color="auto"/>
        <w:right w:val="none" w:sz="0" w:space="0" w:color="auto"/>
      </w:divBdr>
      <w:divsChild>
        <w:div w:id="150296230">
          <w:marLeft w:val="0"/>
          <w:marRight w:val="0"/>
          <w:marTop w:val="0"/>
          <w:marBottom w:val="0"/>
          <w:divBdr>
            <w:top w:val="none" w:sz="0" w:space="0" w:color="auto"/>
            <w:left w:val="none" w:sz="0" w:space="0" w:color="auto"/>
            <w:bottom w:val="none" w:sz="0" w:space="0" w:color="auto"/>
            <w:right w:val="none" w:sz="0" w:space="0" w:color="auto"/>
          </w:divBdr>
        </w:div>
        <w:div w:id="1013651648">
          <w:marLeft w:val="0"/>
          <w:marRight w:val="0"/>
          <w:marTop w:val="0"/>
          <w:marBottom w:val="0"/>
          <w:divBdr>
            <w:top w:val="none" w:sz="0" w:space="0" w:color="auto"/>
            <w:left w:val="none" w:sz="0" w:space="0" w:color="auto"/>
            <w:bottom w:val="none" w:sz="0" w:space="0" w:color="auto"/>
            <w:right w:val="none" w:sz="0" w:space="0" w:color="auto"/>
          </w:divBdr>
        </w:div>
      </w:divsChild>
    </w:div>
    <w:div w:id="166792426">
      <w:bodyDiv w:val="1"/>
      <w:marLeft w:val="0"/>
      <w:marRight w:val="0"/>
      <w:marTop w:val="0"/>
      <w:marBottom w:val="0"/>
      <w:divBdr>
        <w:top w:val="none" w:sz="0" w:space="0" w:color="auto"/>
        <w:left w:val="none" w:sz="0" w:space="0" w:color="auto"/>
        <w:bottom w:val="none" w:sz="0" w:space="0" w:color="auto"/>
        <w:right w:val="none" w:sz="0" w:space="0" w:color="auto"/>
      </w:divBdr>
      <w:divsChild>
        <w:div w:id="938416612">
          <w:marLeft w:val="0"/>
          <w:marRight w:val="0"/>
          <w:marTop w:val="0"/>
          <w:marBottom w:val="0"/>
          <w:divBdr>
            <w:top w:val="none" w:sz="0" w:space="0" w:color="auto"/>
            <w:left w:val="none" w:sz="0" w:space="0" w:color="auto"/>
            <w:bottom w:val="none" w:sz="0" w:space="0" w:color="auto"/>
            <w:right w:val="none" w:sz="0" w:space="0" w:color="auto"/>
          </w:divBdr>
        </w:div>
        <w:div w:id="1181240149">
          <w:marLeft w:val="0"/>
          <w:marRight w:val="0"/>
          <w:marTop w:val="0"/>
          <w:marBottom w:val="0"/>
          <w:divBdr>
            <w:top w:val="none" w:sz="0" w:space="0" w:color="auto"/>
            <w:left w:val="none" w:sz="0" w:space="0" w:color="auto"/>
            <w:bottom w:val="none" w:sz="0" w:space="0" w:color="auto"/>
            <w:right w:val="none" w:sz="0" w:space="0" w:color="auto"/>
          </w:divBdr>
        </w:div>
        <w:div w:id="257444138">
          <w:marLeft w:val="0"/>
          <w:marRight w:val="0"/>
          <w:marTop w:val="0"/>
          <w:marBottom w:val="0"/>
          <w:divBdr>
            <w:top w:val="none" w:sz="0" w:space="0" w:color="auto"/>
            <w:left w:val="none" w:sz="0" w:space="0" w:color="auto"/>
            <w:bottom w:val="none" w:sz="0" w:space="0" w:color="auto"/>
            <w:right w:val="none" w:sz="0" w:space="0" w:color="auto"/>
          </w:divBdr>
        </w:div>
        <w:div w:id="1796674078">
          <w:marLeft w:val="0"/>
          <w:marRight w:val="0"/>
          <w:marTop w:val="0"/>
          <w:marBottom w:val="0"/>
          <w:divBdr>
            <w:top w:val="none" w:sz="0" w:space="0" w:color="auto"/>
            <w:left w:val="none" w:sz="0" w:space="0" w:color="auto"/>
            <w:bottom w:val="none" w:sz="0" w:space="0" w:color="auto"/>
            <w:right w:val="none" w:sz="0" w:space="0" w:color="auto"/>
          </w:divBdr>
        </w:div>
      </w:divsChild>
    </w:div>
    <w:div w:id="33904040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87">
          <w:marLeft w:val="0"/>
          <w:marRight w:val="0"/>
          <w:marTop w:val="0"/>
          <w:marBottom w:val="0"/>
          <w:divBdr>
            <w:top w:val="none" w:sz="0" w:space="0" w:color="auto"/>
            <w:left w:val="none" w:sz="0" w:space="0" w:color="auto"/>
            <w:bottom w:val="none" w:sz="0" w:space="0" w:color="auto"/>
            <w:right w:val="none" w:sz="0" w:space="0" w:color="auto"/>
          </w:divBdr>
        </w:div>
        <w:div w:id="1772238458">
          <w:marLeft w:val="0"/>
          <w:marRight w:val="0"/>
          <w:marTop w:val="0"/>
          <w:marBottom w:val="0"/>
          <w:divBdr>
            <w:top w:val="none" w:sz="0" w:space="0" w:color="auto"/>
            <w:left w:val="none" w:sz="0" w:space="0" w:color="auto"/>
            <w:bottom w:val="none" w:sz="0" w:space="0" w:color="auto"/>
            <w:right w:val="none" w:sz="0" w:space="0" w:color="auto"/>
          </w:divBdr>
        </w:div>
        <w:div w:id="66341712">
          <w:marLeft w:val="0"/>
          <w:marRight w:val="0"/>
          <w:marTop w:val="0"/>
          <w:marBottom w:val="0"/>
          <w:divBdr>
            <w:top w:val="none" w:sz="0" w:space="0" w:color="auto"/>
            <w:left w:val="none" w:sz="0" w:space="0" w:color="auto"/>
            <w:bottom w:val="none" w:sz="0" w:space="0" w:color="auto"/>
            <w:right w:val="none" w:sz="0" w:space="0" w:color="auto"/>
          </w:divBdr>
        </w:div>
        <w:div w:id="1520704607">
          <w:marLeft w:val="0"/>
          <w:marRight w:val="0"/>
          <w:marTop w:val="0"/>
          <w:marBottom w:val="0"/>
          <w:divBdr>
            <w:top w:val="none" w:sz="0" w:space="0" w:color="auto"/>
            <w:left w:val="none" w:sz="0" w:space="0" w:color="auto"/>
            <w:bottom w:val="none" w:sz="0" w:space="0" w:color="auto"/>
            <w:right w:val="none" w:sz="0" w:space="0" w:color="auto"/>
          </w:divBdr>
        </w:div>
        <w:div w:id="2111466874">
          <w:marLeft w:val="0"/>
          <w:marRight w:val="0"/>
          <w:marTop w:val="0"/>
          <w:marBottom w:val="0"/>
          <w:divBdr>
            <w:top w:val="none" w:sz="0" w:space="0" w:color="auto"/>
            <w:left w:val="none" w:sz="0" w:space="0" w:color="auto"/>
            <w:bottom w:val="none" w:sz="0" w:space="0" w:color="auto"/>
            <w:right w:val="none" w:sz="0" w:space="0" w:color="auto"/>
          </w:divBdr>
        </w:div>
        <w:div w:id="240412701">
          <w:marLeft w:val="0"/>
          <w:marRight w:val="0"/>
          <w:marTop w:val="0"/>
          <w:marBottom w:val="0"/>
          <w:divBdr>
            <w:top w:val="none" w:sz="0" w:space="0" w:color="auto"/>
            <w:left w:val="none" w:sz="0" w:space="0" w:color="auto"/>
            <w:bottom w:val="none" w:sz="0" w:space="0" w:color="auto"/>
            <w:right w:val="none" w:sz="0" w:space="0" w:color="auto"/>
          </w:divBdr>
        </w:div>
        <w:div w:id="1481263543">
          <w:marLeft w:val="0"/>
          <w:marRight w:val="0"/>
          <w:marTop w:val="0"/>
          <w:marBottom w:val="0"/>
          <w:divBdr>
            <w:top w:val="none" w:sz="0" w:space="0" w:color="auto"/>
            <w:left w:val="none" w:sz="0" w:space="0" w:color="auto"/>
            <w:bottom w:val="none" w:sz="0" w:space="0" w:color="auto"/>
            <w:right w:val="none" w:sz="0" w:space="0" w:color="auto"/>
          </w:divBdr>
        </w:div>
        <w:div w:id="13581007">
          <w:marLeft w:val="0"/>
          <w:marRight w:val="0"/>
          <w:marTop w:val="0"/>
          <w:marBottom w:val="0"/>
          <w:divBdr>
            <w:top w:val="none" w:sz="0" w:space="0" w:color="auto"/>
            <w:left w:val="none" w:sz="0" w:space="0" w:color="auto"/>
            <w:bottom w:val="none" w:sz="0" w:space="0" w:color="auto"/>
            <w:right w:val="none" w:sz="0" w:space="0" w:color="auto"/>
          </w:divBdr>
        </w:div>
        <w:div w:id="846209871">
          <w:marLeft w:val="0"/>
          <w:marRight w:val="0"/>
          <w:marTop w:val="0"/>
          <w:marBottom w:val="0"/>
          <w:divBdr>
            <w:top w:val="none" w:sz="0" w:space="0" w:color="auto"/>
            <w:left w:val="none" w:sz="0" w:space="0" w:color="auto"/>
            <w:bottom w:val="none" w:sz="0" w:space="0" w:color="auto"/>
            <w:right w:val="none" w:sz="0" w:space="0" w:color="auto"/>
          </w:divBdr>
        </w:div>
      </w:divsChild>
    </w:div>
    <w:div w:id="540017001">
      <w:bodyDiv w:val="1"/>
      <w:marLeft w:val="0"/>
      <w:marRight w:val="0"/>
      <w:marTop w:val="0"/>
      <w:marBottom w:val="0"/>
      <w:divBdr>
        <w:top w:val="none" w:sz="0" w:space="0" w:color="auto"/>
        <w:left w:val="none" w:sz="0" w:space="0" w:color="auto"/>
        <w:bottom w:val="none" w:sz="0" w:space="0" w:color="auto"/>
        <w:right w:val="none" w:sz="0" w:space="0" w:color="auto"/>
      </w:divBdr>
      <w:divsChild>
        <w:div w:id="567375739">
          <w:marLeft w:val="0"/>
          <w:marRight w:val="0"/>
          <w:marTop w:val="0"/>
          <w:marBottom w:val="0"/>
          <w:divBdr>
            <w:top w:val="none" w:sz="0" w:space="0" w:color="auto"/>
            <w:left w:val="none" w:sz="0" w:space="0" w:color="auto"/>
            <w:bottom w:val="none" w:sz="0" w:space="0" w:color="auto"/>
            <w:right w:val="none" w:sz="0" w:space="0" w:color="auto"/>
          </w:divBdr>
        </w:div>
        <w:div w:id="1327593918">
          <w:marLeft w:val="0"/>
          <w:marRight w:val="0"/>
          <w:marTop w:val="0"/>
          <w:marBottom w:val="0"/>
          <w:divBdr>
            <w:top w:val="none" w:sz="0" w:space="0" w:color="auto"/>
            <w:left w:val="none" w:sz="0" w:space="0" w:color="auto"/>
            <w:bottom w:val="none" w:sz="0" w:space="0" w:color="auto"/>
            <w:right w:val="none" w:sz="0" w:space="0" w:color="auto"/>
          </w:divBdr>
        </w:div>
        <w:div w:id="405491571">
          <w:marLeft w:val="0"/>
          <w:marRight w:val="0"/>
          <w:marTop w:val="0"/>
          <w:marBottom w:val="0"/>
          <w:divBdr>
            <w:top w:val="none" w:sz="0" w:space="0" w:color="auto"/>
            <w:left w:val="none" w:sz="0" w:space="0" w:color="auto"/>
            <w:bottom w:val="none" w:sz="0" w:space="0" w:color="auto"/>
            <w:right w:val="none" w:sz="0" w:space="0" w:color="auto"/>
          </w:divBdr>
        </w:div>
        <w:div w:id="330332890">
          <w:marLeft w:val="0"/>
          <w:marRight w:val="0"/>
          <w:marTop w:val="0"/>
          <w:marBottom w:val="0"/>
          <w:divBdr>
            <w:top w:val="none" w:sz="0" w:space="0" w:color="auto"/>
            <w:left w:val="none" w:sz="0" w:space="0" w:color="auto"/>
            <w:bottom w:val="none" w:sz="0" w:space="0" w:color="auto"/>
            <w:right w:val="none" w:sz="0" w:space="0" w:color="auto"/>
          </w:divBdr>
        </w:div>
      </w:divsChild>
    </w:div>
    <w:div w:id="548303503">
      <w:bodyDiv w:val="1"/>
      <w:marLeft w:val="0"/>
      <w:marRight w:val="0"/>
      <w:marTop w:val="0"/>
      <w:marBottom w:val="0"/>
      <w:divBdr>
        <w:top w:val="none" w:sz="0" w:space="0" w:color="auto"/>
        <w:left w:val="none" w:sz="0" w:space="0" w:color="auto"/>
        <w:bottom w:val="none" w:sz="0" w:space="0" w:color="auto"/>
        <w:right w:val="none" w:sz="0" w:space="0" w:color="auto"/>
      </w:divBdr>
      <w:divsChild>
        <w:div w:id="959653540">
          <w:marLeft w:val="0"/>
          <w:marRight w:val="0"/>
          <w:marTop w:val="0"/>
          <w:marBottom w:val="0"/>
          <w:divBdr>
            <w:top w:val="none" w:sz="0" w:space="0" w:color="auto"/>
            <w:left w:val="none" w:sz="0" w:space="0" w:color="auto"/>
            <w:bottom w:val="none" w:sz="0" w:space="0" w:color="auto"/>
            <w:right w:val="none" w:sz="0" w:space="0" w:color="auto"/>
          </w:divBdr>
        </w:div>
        <w:div w:id="2032023254">
          <w:marLeft w:val="0"/>
          <w:marRight w:val="0"/>
          <w:marTop w:val="0"/>
          <w:marBottom w:val="0"/>
          <w:divBdr>
            <w:top w:val="none" w:sz="0" w:space="0" w:color="auto"/>
            <w:left w:val="none" w:sz="0" w:space="0" w:color="auto"/>
            <w:bottom w:val="none" w:sz="0" w:space="0" w:color="auto"/>
            <w:right w:val="none" w:sz="0" w:space="0" w:color="auto"/>
          </w:divBdr>
        </w:div>
        <w:div w:id="1407997691">
          <w:marLeft w:val="0"/>
          <w:marRight w:val="0"/>
          <w:marTop w:val="0"/>
          <w:marBottom w:val="0"/>
          <w:divBdr>
            <w:top w:val="none" w:sz="0" w:space="0" w:color="auto"/>
            <w:left w:val="none" w:sz="0" w:space="0" w:color="auto"/>
            <w:bottom w:val="none" w:sz="0" w:space="0" w:color="auto"/>
            <w:right w:val="none" w:sz="0" w:space="0" w:color="auto"/>
          </w:divBdr>
        </w:div>
        <w:div w:id="1969777122">
          <w:marLeft w:val="0"/>
          <w:marRight w:val="0"/>
          <w:marTop w:val="0"/>
          <w:marBottom w:val="0"/>
          <w:divBdr>
            <w:top w:val="none" w:sz="0" w:space="0" w:color="auto"/>
            <w:left w:val="none" w:sz="0" w:space="0" w:color="auto"/>
            <w:bottom w:val="none" w:sz="0" w:space="0" w:color="auto"/>
            <w:right w:val="none" w:sz="0" w:space="0" w:color="auto"/>
          </w:divBdr>
        </w:div>
        <w:div w:id="668097269">
          <w:marLeft w:val="0"/>
          <w:marRight w:val="0"/>
          <w:marTop w:val="0"/>
          <w:marBottom w:val="0"/>
          <w:divBdr>
            <w:top w:val="none" w:sz="0" w:space="0" w:color="auto"/>
            <w:left w:val="none" w:sz="0" w:space="0" w:color="auto"/>
            <w:bottom w:val="none" w:sz="0" w:space="0" w:color="auto"/>
            <w:right w:val="none" w:sz="0" w:space="0" w:color="auto"/>
          </w:divBdr>
        </w:div>
        <w:div w:id="381369339">
          <w:marLeft w:val="0"/>
          <w:marRight w:val="0"/>
          <w:marTop w:val="0"/>
          <w:marBottom w:val="0"/>
          <w:divBdr>
            <w:top w:val="none" w:sz="0" w:space="0" w:color="auto"/>
            <w:left w:val="none" w:sz="0" w:space="0" w:color="auto"/>
            <w:bottom w:val="none" w:sz="0" w:space="0" w:color="auto"/>
            <w:right w:val="none" w:sz="0" w:space="0" w:color="auto"/>
          </w:divBdr>
        </w:div>
        <w:div w:id="706296489">
          <w:marLeft w:val="0"/>
          <w:marRight w:val="0"/>
          <w:marTop w:val="0"/>
          <w:marBottom w:val="0"/>
          <w:divBdr>
            <w:top w:val="none" w:sz="0" w:space="0" w:color="auto"/>
            <w:left w:val="none" w:sz="0" w:space="0" w:color="auto"/>
            <w:bottom w:val="none" w:sz="0" w:space="0" w:color="auto"/>
            <w:right w:val="none" w:sz="0" w:space="0" w:color="auto"/>
          </w:divBdr>
        </w:div>
        <w:div w:id="1887721495">
          <w:marLeft w:val="0"/>
          <w:marRight w:val="0"/>
          <w:marTop w:val="0"/>
          <w:marBottom w:val="0"/>
          <w:divBdr>
            <w:top w:val="none" w:sz="0" w:space="0" w:color="auto"/>
            <w:left w:val="none" w:sz="0" w:space="0" w:color="auto"/>
            <w:bottom w:val="none" w:sz="0" w:space="0" w:color="auto"/>
            <w:right w:val="none" w:sz="0" w:space="0" w:color="auto"/>
          </w:divBdr>
        </w:div>
        <w:div w:id="324631345">
          <w:marLeft w:val="0"/>
          <w:marRight w:val="0"/>
          <w:marTop w:val="0"/>
          <w:marBottom w:val="0"/>
          <w:divBdr>
            <w:top w:val="none" w:sz="0" w:space="0" w:color="auto"/>
            <w:left w:val="none" w:sz="0" w:space="0" w:color="auto"/>
            <w:bottom w:val="none" w:sz="0" w:space="0" w:color="auto"/>
            <w:right w:val="none" w:sz="0" w:space="0" w:color="auto"/>
          </w:divBdr>
        </w:div>
      </w:divsChild>
    </w:div>
    <w:div w:id="668288316">
      <w:bodyDiv w:val="1"/>
      <w:marLeft w:val="0"/>
      <w:marRight w:val="0"/>
      <w:marTop w:val="0"/>
      <w:marBottom w:val="0"/>
      <w:divBdr>
        <w:top w:val="none" w:sz="0" w:space="0" w:color="auto"/>
        <w:left w:val="none" w:sz="0" w:space="0" w:color="auto"/>
        <w:bottom w:val="none" w:sz="0" w:space="0" w:color="auto"/>
        <w:right w:val="none" w:sz="0" w:space="0" w:color="auto"/>
      </w:divBdr>
      <w:divsChild>
        <w:div w:id="2051178363">
          <w:marLeft w:val="0"/>
          <w:marRight w:val="0"/>
          <w:marTop w:val="0"/>
          <w:marBottom w:val="0"/>
          <w:divBdr>
            <w:top w:val="none" w:sz="0" w:space="0" w:color="auto"/>
            <w:left w:val="none" w:sz="0" w:space="0" w:color="auto"/>
            <w:bottom w:val="none" w:sz="0" w:space="0" w:color="auto"/>
            <w:right w:val="none" w:sz="0" w:space="0" w:color="auto"/>
          </w:divBdr>
        </w:div>
        <w:div w:id="984508796">
          <w:marLeft w:val="0"/>
          <w:marRight w:val="0"/>
          <w:marTop w:val="0"/>
          <w:marBottom w:val="0"/>
          <w:divBdr>
            <w:top w:val="none" w:sz="0" w:space="0" w:color="auto"/>
            <w:left w:val="none" w:sz="0" w:space="0" w:color="auto"/>
            <w:bottom w:val="none" w:sz="0" w:space="0" w:color="auto"/>
            <w:right w:val="none" w:sz="0" w:space="0" w:color="auto"/>
          </w:divBdr>
        </w:div>
        <w:div w:id="1720591948">
          <w:marLeft w:val="0"/>
          <w:marRight w:val="0"/>
          <w:marTop w:val="0"/>
          <w:marBottom w:val="0"/>
          <w:divBdr>
            <w:top w:val="none" w:sz="0" w:space="0" w:color="auto"/>
            <w:left w:val="none" w:sz="0" w:space="0" w:color="auto"/>
            <w:bottom w:val="none" w:sz="0" w:space="0" w:color="auto"/>
            <w:right w:val="none" w:sz="0" w:space="0" w:color="auto"/>
          </w:divBdr>
        </w:div>
        <w:div w:id="868252272">
          <w:marLeft w:val="0"/>
          <w:marRight w:val="0"/>
          <w:marTop w:val="0"/>
          <w:marBottom w:val="0"/>
          <w:divBdr>
            <w:top w:val="none" w:sz="0" w:space="0" w:color="auto"/>
            <w:left w:val="none" w:sz="0" w:space="0" w:color="auto"/>
            <w:bottom w:val="none" w:sz="0" w:space="0" w:color="auto"/>
            <w:right w:val="none" w:sz="0" w:space="0" w:color="auto"/>
          </w:divBdr>
        </w:div>
        <w:div w:id="1430196790">
          <w:marLeft w:val="0"/>
          <w:marRight w:val="0"/>
          <w:marTop w:val="0"/>
          <w:marBottom w:val="0"/>
          <w:divBdr>
            <w:top w:val="none" w:sz="0" w:space="0" w:color="auto"/>
            <w:left w:val="none" w:sz="0" w:space="0" w:color="auto"/>
            <w:bottom w:val="none" w:sz="0" w:space="0" w:color="auto"/>
            <w:right w:val="none" w:sz="0" w:space="0" w:color="auto"/>
          </w:divBdr>
        </w:div>
        <w:div w:id="492258231">
          <w:marLeft w:val="0"/>
          <w:marRight w:val="0"/>
          <w:marTop w:val="0"/>
          <w:marBottom w:val="0"/>
          <w:divBdr>
            <w:top w:val="none" w:sz="0" w:space="0" w:color="auto"/>
            <w:left w:val="none" w:sz="0" w:space="0" w:color="auto"/>
            <w:bottom w:val="none" w:sz="0" w:space="0" w:color="auto"/>
            <w:right w:val="none" w:sz="0" w:space="0" w:color="auto"/>
          </w:divBdr>
        </w:div>
        <w:div w:id="1410809094">
          <w:marLeft w:val="0"/>
          <w:marRight w:val="0"/>
          <w:marTop w:val="0"/>
          <w:marBottom w:val="0"/>
          <w:divBdr>
            <w:top w:val="none" w:sz="0" w:space="0" w:color="auto"/>
            <w:left w:val="none" w:sz="0" w:space="0" w:color="auto"/>
            <w:bottom w:val="none" w:sz="0" w:space="0" w:color="auto"/>
            <w:right w:val="none" w:sz="0" w:space="0" w:color="auto"/>
          </w:divBdr>
        </w:div>
        <w:div w:id="458181899">
          <w:marLeft w:val="0"/>
          <w:marRight w:val="0"/>
          <w:marTop w:val="0"/>
          <w:marBottom w:val="0"/>
          <w:divBdr>
            <w:top w:val="none" w:sz="0" w:space="0" w:color="auto"/>
            <w:left w:val="none" w:sz="0" w:space="0" w:color="auto"/>
            <w:bottom w:val="none" w:sz="0" w:space="0" w:color="auto"/>
            <w:right w:val="none" w:sz="0" w:space="0" w:color="auto"/>
          </w:divBdr>
        </w:div>
        <w:div w:id="1287158874">
          <w:marLeft w:val="0"/>
          <w:marRight w:val="0"/>
          <w:marTop w:val="0"/>
          <w:marBottom w:val="0"/>
          <w:divBdr>
            <w:top w:val="none" w:sz="0" w:space="0" w:color="auto"/>
            <w:left w:val="none" w:sz="0" w:space="0" w:color="auto"/>
            <w:bottom w:val="none" w:sz="0" w:space="0" w:color="auto"/>
            <w:right w:val="none" w:sz="0" w:space="0" w:color="auto"/>
          </w:divBdr>
        </w:div>
        <w:div w:id="1217549563">
          <w:marLeft w:val="0"/>
          <w:marRight w:val="0"/>
          <w:marTop w:val="0"/>
          <w:marBottom w:val="0"/>
          <w:divBdr>
            <w:top w:val="none" w:sz="0" w:space="0" w:color="auto"/>
            <w:left w:val="none" w:sz="0" w:space="0" w:color="auto"/>
            <w:bottom w:val="none" w:sz="0" w:space="0" w:color="auto"/>
            <w:right w:val="none" w:sz="0" w:space="0" w:color="auto"/>
          </w:divBdr>
        </w:div>
        <w:div w:id="1062606747">
          <w:marLeft w:val="0"/>
          <w:marRight w:val="0"/>
          <w:marTop w:val="0"/>
          <w:marBottom w:val="0"/>
          <w:divBdr>
            <w:top w:val="none" w:sz="0" w:space="0" w:color="auto"/>
            <w:left w:val="none" w:sz="0" w:space="0" w:color="auto"/>
            <w:bottom w:val="none" w:sz="0" w:space="0" w:color="auto"/>
            <w:right w:val="none" w:sz="0" w:space="0" w:color="auto"/>
          </w:divBdr>
        </w:div>
        <w:div w:id="717361441">
          <w:marLeft w:val="0"/>
          <w:marRight w:val="0"/>
          <w:marTop w:val="0"/>
          <w:marBottom w:val="0"/>
          <w:divBdr>
            <w:top w:val="none" w:sz="0" w:space="0" w:color="auto"/>
            <w:left w:val="none" w:sz="0" w:space="0" w:color="auto"/>
            <w:bottom w:val="none" w:sz="0" w:space="0" w:color="auto"/>
            <w:right w:val="none" w:sz="0" w:space="0" w:color="auto"/>
          </w:divBdr>
        </w:div>
        <w:div w:id="1008092818">
          <w:marLeft w:val="0"/>
          <w:marRight w:val="0"/>
          <w:marTop w:val="0"/>
          <w:marBottom w:val="0"/>
          <w:divBdr>
            <w:top w:val="none" w:sz="0" w:space="0" w:color="auto"/>
            <w:left w:val="none" w:sz="0" w:space="0" w:color="auto"/>
            <w:bottom w:val="none" w:sz="0" w:space="0" w:color="auto"/>
            <w:right w:val="none" w:sz="0" w:space="0" w:color="auto"/>
          </w:divBdr>
        </w:div>
        <w:div w:id="1739786207">
          <w:marLeft w:val="0"/>
          <w:marRight w:val="0"/>
          <w:marTop w:val="0"/>
          <w:marBottom w:val="0"/>
          <w:divBdr>
            <w:top w:val="none" w:sz="0" w:space="0" w:color="auto"/>
            <w:left w:val="none" w:sz="0" w:space="0" w:color="auto"/>
            <w:bottom w:val="none" w:sz="0" w:space="0" w:color="auto"/>
            <w:right w:val="none" w:sz="0" w:space="0" w:color="auto"/>
          </w:divBdr>
        </w:div>
        <w:div w:id="1913545616">
          <w:marLeft w:val="0"/>
          <w:marRight w:val="0"/>
          <w:marTop w:val="0"/>
          <w:marBottom w:val="0"/>
          <w:divBdr>
            <w:top w:val="none" w:sz="0" w:space="0" w:color="auto"/>
            <w:left w:val="none" w:sz="0" w:space="0" w:color="auto"/>
            <w:bottom w:val="none" w:sz="0" w:space="0" w:color="auto"/>
            <w:right w:val="none" w:sz="0" w:space="0" w:color="auto"/>
          </w:divBdr>
        </w:div>
        <w:div w:id="1007289432">
          <w:marLeft w:val="0"/>
          <w:marRight w:val="0"/>
          <w:marTop w:val="0"/>
          <w:marBottom w:val="0"/>
          <w:divBdr>
            <w:top w:val="none" w:sz="0" w:space="0" w:color="auto"/>
            <w:left w:val="none" w:sz="0" w:space="0" w:color="auto"/>
            <w:bottom w:val="none" w:sz="0" w:space="0" w:color="auto"/>
            <w:right w:val="none" w:sz="0" w:space="0" w:color="auto"/>
          </w:divBdr>
        </w:div>
        <w:div w:id="722942932">
          <w:marLeft w:val="0"/>
          <w:marRight w:val="0"/>
          <w:marTop w:val="0"/>
          <w:marBottom w:val="0"/>
          <w:divBdr>
            <w:top w:val="none" w:sz="0" w:space="0" w:color="auto"/>
            <w:left w:val="none" w:sz="0" w:space="0" w:color="auto"/>
            <w:bottom w:val="none" w:sz="0" w:space="0" w:color="auto"/>
            <w:right w:val="none" w:sz="0" w:space="0" w:color="auto"/>
          </w:divBdr>
        </w:div>
        <w:div w:id="1614173515">
          <w:marLeft w:val="0"/>
          <w:marRight w:val="0"/>
          <w:marTop w:val="0"/>
          <w:marBottom w:val="0"/>
          <w:divBdr>
            <w:top w:val="none" w:sz="0" w:space="0" w:color="auto"/>
            <w:left w:val="none" w:sz="0" w:space="0" w:color="auto"/>
            <w:bottom w:val="none" w:sz="0" w:space="0" w:color="auto"/>
            <w:right w:val="none" w:sz="0" w:space="0" w:color="auto"/>
          </w:divBdr>
        </w:div>
        <w:div w:id="1264920279">
          <w:marLeft w:val="0"/>
          <w:marRight w:val="0"/>
          <w:marTop w:val="0"/>
          <w:marBottom w:val="0"/>
          <w:divBdr>
            <w:top w:val="none" w:sz="0" w:space="0" w:color="auto"/>
            <w:left w:val="none" w:sz="0" w:space="0" w:color="auto"/>
            <w:bottom w:val="none" w:sz="0" w:space="0" w:color="auto"/>
            <w:right w:val="none" w:sz="0" w:space="0" w:color="auto"/>
          </w:divBdr>
        </w:div>
        <w:div w:id="673727234">
          <w:marLeft w:val="0"/>
          <w:marRight w:val="0"/>
          <w:marTop w:val="0"/>
          <w:marBottom w:val="0"/>
          <w:divBdr>
            <w:top w:val="none" w:sz="0" w:space="0" w:color="auto"/>
            <w:left w:val="none" w:sz="0" w:space="0" w:color="auto"/>
            <w:bottom w:val="none" w:sz="0" w:space="0" w:color="auto"/>
            <w:right w:val="none" w:sz="0" w:space="0" w:color="auto"/>
          </w:divBdr>
        </w:div>
        <w:div w:id="973023159">
          <w:marLeft w:val="0"/>
          <w:marRight w:val="0"/>
          <w:marTop w:val="0"/>
          <w:marBottom w:val="0"/>
          <w:divBdr>
            <w:top w:val="none" w:sz="0" w:space="0" w:color="auto"/>
            <w:left w:val="none" w:sz="0" w:space="0" w:color="auto"/>
            <w:bottom w:val="none" w:sz="0" w:space="0" w:color="auto"/>
            <w:right w:val="none" w:sz="0" w:space="0" w:color="auto"/>
          </w:divBdr>
        </w:div>
        <w:div w:id="1005519404">
          <w:marLeft w:val="0"/>
          <w:marRight w:val="0"/>
          <w:marTop w:val="0"/>
          <w:marBottom w:val="0"/>
          <w:divBdr>
            <w:top w:val="none" w:sz="0" w:space="0" w:color="auto"/>
            <w:left w:val="none" w:sz="0" w:space="0" w:color="auto"/>
            <w:bottom w:val="none" w:sz="0" w:space="0" w:color="auto"/>
            <w:right w:val="none" w:sz="0" w:space="0" w:color="auto"/>
          </w:divBdr>
        </w:div>
        <w:div w:id="1587349088">
          <w:marLeft w:val="0"/>
          <w:marRight w:val="0"/>
          <w:marTop w:val="0"/>
          <w:marBottom w:val="0"/>
          <w:divBdr>
            <w:top w:val="none" w:sz="0" w:space="0" w:color="auto"/>
            <w:left w:val="none" w:sz="0" w:space="0" w:color="auto"/>
            <w:bottom w:val="none" w:sz="0" w:space="0" w:color="auto"/>
            <w:right w:val="none" w:sz="0" w:space="0" w:color="auto"/>
          </w:divBdr>
        </w:div>
        <w:div w:id="212549125">
          <w:marLeft w:val="0"/>
          <w:marRight w:val="0"/>
          <w:marTop w:val="0"/>
          <w:marBottom w:val="0"/>
          <w:divBdr>
            <w:top w:val="none" w:sz="0" w:space="0" w:color="auto"/>
            <w:left w:val="none" w:sz="0" w:space="0" w:color="auto"/>
            <w:bottom w:val="none" w:sz="0" w:space="0" w:color="auto"/>
            <w:right w:val="none" w:sz="0" w:space="0" w:color="auto"/>
          </w:divBdr>
        </w:div>
        <w:div w:id="1402866112">
          <w:marLeft w:val="0"/>
          <w:marRight w:val="0"/>
          <w:marTop w:val="0"/>
          <w:marBottom w:val="0"/>
          <w:divBdr>
            <w:top w:val="none" w:sz="0" w:space="0" w:color="auto"/>
            <w:left w:val="none" w:sz="0" w:space="0" w:color="auto"/>
            <w:bottom w:val="none" w:sz="0" w:space="0" w:color="auto"/>
            <w:right w:val="none" w:sz="0" w:space="0" w:color="auto"/>
          </w:divBdr>
        </w:div>
        <w:div w:id="74784929">
          <w:marLeft w:val="0"/>
          <w:marRight w:val="0"/>
          <w:marTop w:val="0"/>
          <w:marBottom w:val="0"/>
          <w:divBdr>
            <w:top w:val="none" w:sz="0" w:space="0" w:color="auto"/>
            <w:left w:val="none" w:sz="0" w:space="0" w:color="auto"/>
            <w:bottom w:val="none" w:sz="0" w:space="0" w:color="auto"/>
            <w:right w:val="none" w:sz="0" w:space="0" w:color="auto"/>
          </w:divBdr>
        </w:div>
        <w:div w:id="1648775690">
          <w:marLeft w:val="0"/>
          <w:marRight w:val="0"/>
          <w:marTop w:val="0"/>
          <w:marBottom w:val="0"/>
          <w:divBdr>
            <w:top w:val="none" w:sz="0" w:space="0" w:color="auto"/>
            <w:left w:val="none" w:sz="0" w:space="0" w:color="auto"/>
            <w:bottom w:val="none" w:sz="0" w:space="0" w:color="auto"/>
            <w:right w:val="none" w:sz="0" w:space="0" w:color="auto"/>
          </w:divBdr>
        </w:div>
        <w:div w:id="1819153447">
          <w:marLeft w:val="0"/>
          <w:marRight w:val="0"/>
          <w:marTop w:val="0"/>
          <w:marBottom w:val="0"/>
          <w:divBdr>
            <w:top w:val="none" w:sz="0" w:space="0" w:color="auto"/>
            <w:left w:val="none" w:sz="0" w:space="0" w:color="auto"/>
            <w:bottom w:val="none" w:sz="0" w:space="0" w:color="auto"/>
            <w:right w:val="none" w:sz="0" w:space="0" w:color="auto"/>
          </w:divBdr>
        </w:div>
        <w:div w:id="545720020">
          <w:marLeft w:val="0"/>
          <w:marRight w:val="0"/>
          <w:marTop w:val="0"/>
          <w:marBottom w:val="0"/>
          <w:divBdr>
            <w:top w:val="none" w:sz="0" w:space="0" w:color="auto"/>
            <w:left w:val="none" w:sz="0" w:space="0" w:color="auto"/>
            <w:bottom w:val="none" w:sz="0" w:space="0" w:color="auto"/>
            <w:right w:val="none" w:sz="0" w:space="0" w:color="auto"/>
          </w:divBdr>
        </w:div>
        <w:div w:id="1847210111">
          <w:marLeft w:val="0"/>
          <w:marRight w:val="0"/>
          <w:marTop w:val="0"/>
          <w:marBottom w:val="0"/>
          <w:divBdr>
            <w:top w:val="none" w:sz="0" w:space="0" w:color="auto"/>
            <w:left w:val="none" w:sz="0" w:space="0" w:color="auto"/>
            <w:bottom w:val="none" w:sz="0" w:space="0" w:color="auto"/>
            <w:right w:val="none" w:sz="0" w:space="0" w:color="auto"/>
          </w:divBdr>
        </w:div>
        <w:div w:id="47187513">
          <w:marLeft w:val="0"/>
          <w:marRight w:val="0"/>
          <w:marTop w:val="0"/>
          <w:marBottom w:val="0"/>
          <w:divBdr>
            <w:top w:val="none" w:sz="0" w:space="0" w:color="auto"/>
            <w:left w:val="none" w:sz="0" w:space="0" w:color="auto"/>
            <w:bottom w:val="none" w:sz="0" w:space="0" w:color="auto"/>
            <w:right w:val="none" w:sz="0" w:space="0" w:color="auto"/>
          </w:divBdr>
        </w:div>
        <w:div w:id="911542875">
          <w:marLeft w:val="0"/>
          <w:marRight w:val="0"/>
          <w:marTop w:val="0"/>
          <w:marBottom w:val="0"/>
          <w:divBdr>
            <w:top w:val="none" w:sz="0" w:space="0" w:color="auto"/>
            <w:left w:val="none" w:sz="0" w:space="0" w:color="auto"/>
            <w:bottom w:val="none" w:sz="0" w:space="0" w:color="auto"/>
            <w:right w:val="none" w:sz="0" w:space="0" w:color="auto"/>
          </w:divBdr>
        </w:div>
        <w:div w:id="1584341176">
          <w:marLeft w:val="0"/>
          <w:marRight w:val="0"/>
          <w:marTop w:val="0"/>
          <w:marBottom w:val="0"/>
          <w:divBdr>
            <w:top w:val="none" w:sz="0" w:space="0" w:color="auto"/>
            <w:left w:val="none" w:sz="0" w:space="0" w:color="auto"/>
            <w:bottom w:val="none" w:sz="0" w:space="0" w:color="auto"/>
            <w:right w:val="none" w:sz="0" w:space="0" w:color="auto"/>
          </w:divBdr>
        </w:div>
        <w:div w:id="1261722801">
          <w:marLeft w:val="0"/>
          <w:marRight w:val="0"/>
          <w:marTop w:val="0"/>
          <w:marBottom w:val="0"/>
          <w:divBdr>
            <w:top w:val="none" w:sz="0" w:space="0" w:color="auto"/>
            <w:left w:val="none" w:sz="0" w:space="0" w:color="auto"/>
            <w:bottom w:val="none" w:sz="0" w:space="0" w:color="auto"/>
            <w:right w:val="none" w:sz="0" w:space="0" w:color="auto"/>
          </w:divBdr>
        </w:div>
      </w:divsChild>
    </w:div>
    <w:div w:id="675113367">
      <w:bodyDiv w:val="1"/>
      <w:marLeft w:val="0"/>
      <w:marRight w:val="0"/>
      <w:marTop w:val="0"/>
      <w:marBottom w:val="0"/>
      <w:divBdr>
        <w:top w:val="none" w:sz="0" w:space="0" w:color="auto"/>
        <w:left w:val="none" w:sz="0" w:space="0" w:color="auto"/>
        <w:bottom w:val="none" w:sz="0" w:space="0" w:color="auto"/>
        <w:right w:val="none" w:sz="0" w:space="0" w:color="auto"/>
      </w:divBdr>
      <w:divsChild>
        <w:div w:id="387730792">
          <w:marLeft w:val="0"/>
          <w:marRight w:val="0"/>
          <w:marTop w:val="0"/>
          <w:marBottom w:val="0"/>
          <w:divBdr>
            <w:top w:val="none" w:sz="0" w:space="0" w:color="auto"/>
            <w:left w:val="none" w:sz="0" w:space="0" w:color="auto"/>
            <w:bottom w:val="none" w:sz="0" w:space="0" w:color="auto"/>
            <w:right w:val="none" w:sz="0" w:space="0" w:color="auto"/>
          </w:divBdr>
        </w:div>
        <w:div w:id="497035574">
          <w:marLeft w:val="0"/>
          <w:marRight w:val="0"/>
          <w:marTop w:val="0"/>
          <w:marBottom w:val="0"/>
          <w:divBdr>
            <w:top w:val="none" w:sz="0" w:space="0" w:color="auto"/>
            <w:left w:val="none" w:sz="0" w:space="0" w:color="auto"/>
            <w:bottom w:val="none" w:sz="0" w:space="0" w:color="auto"/>
            <w:right w:val="none" w:sz="0" w:space="0" w:color="auto"/>
          </w:divBdr>
        </w:div>
        <w:div w:id="301693593">
          <w:marLeft w:val="0"/>
          <w:marRight w:val="0"/>
          <w:marTop w:val="0"/>
          <w:marBottom w:val="0"/>
          <w:divBdr>
            <w:top w:val="none" w:sz="0" w:space="0" w:color="auto"/>
            <w:left w:val="none" w:sz="0" w:space="0" w:color="auto"/>
            <w:bottom w:val="none" w:sz="0" w:space="0" w:color="auto"/>
            <w:right w:val="none" w:sz="0" w:space="0" w:color="auto"/>
          </w:divBdr>
        </w:div>
        <w:div w:id="1810635415">
          <w:marLeft w:val="0"/>
          <w:marRight w:val="0"/>
          <w:marTop w:val="0"/>
          <w:marBottom w:val="0"/>
          <w:divBdr>
            <w:top w:val="none" w:sz="0" w:space="0" w:color="auto"/>
            <w:left w:val="none" w:sz="0" w:space="0" w:color="auto"/>
            <w:bottom w:val="none" w:sz="0" w:space="0" w:color="auto"/>
            <w:right w:val="none" w:sz="0" w:space="0" w:color="auto"/>
          </w:divBdr>
        </w:div>
      </w:divsChild>
    </w:div>
    <w:div w:id="810752446">
      <w:bodyDiv w:val="1"/>
      <w:marLeft w:val="0"/>
      <w:marRight w:val="0"/>
      <w:marTop w:val="0"/>
      <w:marBottom w:val="0"/>
      <w:divBdr>
        <w:top w:val="none" w:sz="0" w:space="0" w:color="auto"/>
        <w:left w:val="none" w:sz="0" w:space="0" w:color="auto"/>
        <w:bottom w:val="none" w:sz="0" w:space="0" w:color="auto"/>
        <w:right w:val="none" w:sz="0" w:space="0" w:color="auto"/>
      </w:divBdr>
      <w:divsChild>
        <w:div w:id="1056314809">
          <w:marLeft w:val="0"/>
          <w:marRight w:val="0"/>
          <w:marTop w:val="0"/>
          <w:marBottom w:val="0"/>
          <w:divBdr>
            <w:top w:val="none" w:sz="0" w:space="0" w:color="auto"/>
            <w:left w:val="none" w:sz="0" w:space="0" w:color="auto"/>
            <w:bottom w:val="none" w:sz="0" w:space="0" w:color="auto"/>
            <w:right w:val="none" w:sz="0" w:space="0" w:color="auto"/>
          </w:divBdr>
        </w:div>
        <w:div w:id="1773546329">
          <w:marLeft w:val="0"/>
          <w:marRight w:val="0"/>
          <w:marTop w:val="0"/>
          <w:marBottom w:val="0"/>
          <w:divBdr>
            <w:top w:val="none" w:sz="0" w:space="0" w:color="auto"/>
            <w:left w:val="none" w:sz="0" w:space="0" w:color="auto"/>
            <w:bottom w:val="none" w:sz="0" w:space="0" w:color="auto"/>
            <w:right w:val="none" w:sz="0" w:space="0" w:color="auto"/>
          </w:divBdr>
        </w:div>
        <w:div w:id="424308668">
          <w:marLeft w:val="0"/>
          <w:marRight w:val="0"/>
          <w:marTop w:val="0"/>
          <w:marBottom w:val="0"/>
          <w:divBdr>
            <w:top w:val="none" w:sz="0" w:space="0" w:color="auto"/>
            <w:left w:val="none" w:sz="0" w:space="0" w:color="auto"/>
            <w:bottom w:val="none" w:sz="0" w:space="0" w:color="auto"/>
            <w:right w:val="none" w:sz="0" w:space="0" w:color="auto"/>
          </w:divBdr>
        </w:div>
        <w:div w:id="768820767">
          <w:marLeft w:val="0"/>
          <w:marRight w:val="0"/>
          <w:marTop w:val="0"/>
          <w:marBottom w:val="0"/>
          <w:divBdr>
            <w:top w:val="none" w:sz="0" w:space="0" w:color="auto"/>
            <w:left w:val="none" w:sz="0" w:space="0" w:color="auto"/>
            <w:bottom w:val="none" w:sz="0" w:space="0" w:color="auto"/>
            <w:right w:val="none" w:sz="0" w:space="0" w:color="auto"/>
          </w:divBdr>
        </w:div>
        <w:div w:id="929585406">
          <w:marLeft w:val="0"/>
          <w:marRight w:val="0"/>
          <w:marTop w:val="0"/>
          <w:marBottom w:val="0"/>
          <w:divBdr>
            <w:top w:val="none" w:sz="0" w:space="0" w:color="auto"/>
            <w:left w:val="none" w:sz="0" w:space="0" w:color="auto"/>
            <w:bottom w:val="none" w:sz="0" w:space="0" w:color="auto"/>
            <w:right w:val="none" w:sz="0" w:space="0" w:color="auto"/>
          </w:divBdr>
        </w:div>
      </w:divsChild>
    </w:div>
    <w:div w:id="818888340">
      <w:bodyDiv w:val="1"/>
      <w:marLeft w:val="0"/>
      <w:marRight w:val="0"/>
      <w:marTop w:val="0"/>
      <w:marBottom w:val="0"/>
      <w:divBdr>
        <w:top w:val="none" w:sz="0" w:space="0" w:color="auto"/>
        <w:left w:val="none" w:sz="0" w:space="0" w:color="auto"/>
        <w:bottom w:val="none" w:sz="0" w:space="0" w:color="auto"/>
        <w:right w:val="none" w:sz="0" w:space="0" w:color="auto"/>
      </w:divBdr>
      <w:divsChild>
        <w:div w:id="165949433">
          <w:marLeft w:val="0"/>
          <w:marRight w:val="0"/>
          <w:marTop w:val="0"/>
          <w:marBottom w:val="0"/>
          <w:divBdr>
            <w:top w:val="none" w:sz="0" w:space="0" w:color="auto"/>
            <w:left w:val="none" w:sz="0" w:space="0" w:color="auto"/>
            <w:bottom w:val="none" w:sz="0" w:space="0" w:color="auto"/>
            <w:right w:val="none" w:sz="0" w:space="0" w:color="auto"/>
          </w:divBdr>
        </w:div>
        <w:div w:id="151413142">
          <w:marLeft w:val="0"/>
          <w:marRight w:val="0"/>
          <w:marTop w:val="0"/>
          <w:marBottom w:val="0"/>
          <w:divBdr>
            <w:top w:val="none" w:sz="0" w:space="0" w:color="auto"/>
            <w:left w:val="none" w:sz="0" w:space="0" w:color="auto"/>
            <w:bottom w:val="none" w:sz="0" w:space="0" w:color="auto"/>
            <w:right w:val="none" w:sz="0" w:space="0" w:color="auto"/>
          </w:divBdr>
        </w:div>
        <w:div w:id="1869178218">
          <w:marLeft w:val="0"/>
          <w:marRight w:val="0"/>
          <w:marTop w:val="0"/>
          <w:marBottom w:val="0"/>
          <w:divBdr>
            <w:top w:val="none" w:sz="0" w:space="0" w:color="auto"/>
            <w:left w:val="none" w:sz="0" w:space="0" w:color="auto"/>
            <w:bottom w:val="none" w:sz="0" w:space="0" w:color="auto"/>
            <w:right w:val="none" w:sz="0" w:space="0" w:color="auto"/>
          </w:divBdr>
        </w:div>
        <w:div w:id="1001932148">
          <w:marLeft w:val="0"/>
          <w:marRight w:val="0"/>
          <w:marTop w:val="0"/>
          <w:marBottom w:val="0"/>
          <w:divBdr>
            <w:top w:val="none" w:sz="0" w:space="0" w:color="auto"/>
            <w:left w:val="none" w:sz="0" w:space="0" w:color="auto"/>
            <w:bottom w:val="none" w:sz="0" w:space="0" w:color="auto"/>
            <w:right w:val="none" w:sz="0" w:space="0" w:color="auto"/>
          </w:divBdr>
        </w:div>
        <w:div w:id="180123668">
          <w:marLeft w:val="0"/>
          <w:marRight w:val="0"/>
          <w:marTop w:val="0"/>
          <w:marBottom w:val="0"/>
          <w:divBdr>
            <w:top w:val="none" w:sz="0" w:space="0" w:color="auto"/>
            <w:left w:val="none" w:sz="0" w:space="0" w:color="auto"/>
            <w:bottom w:val="none" w:sz="0" w:space="0" w:color="auto"/>
            <w:right w:val="none" w:sz="0" w:space="0" w:color="auto"/>
          </w:divBdr>
        </w:div>
        <w:div w:id="976686519">
          <w:marLeft w:val="0"/>
          <w:marRight w:val="0"/>
          <w:marTop w:val="0"/>
          <w:marBottom w:val="0"/>
          <w:divBdr>
            <w:top w:val="none" w:sz="0" w:space="0" w:color="auto"/>
            <w:left w:val="none" w:sz="0" w:space="0" w:color="auto"/>
            <w:bottom w:val="none" w:sz="0" w:space="0" w:color="auto"/>
            <w:right w:val="none" w:sz="0" w:space="0" w:color="auto"/>
          </w:divBdr>
        </w:div>
      </w:divsChild>
    </w:div>
    <w:div w:id="829101310">
      <w:bodyDiv w:val="1"/>
      <w:marLeft w:val="0"/>
      <w:marRight w:val="0"/>
      <w:marTop w:val="0"/>
      <w:marBottom w:val="0"/>
      <w:divBdr>
        <w:top w:val="none" w:sz="0" w:space="0" w:color="auto"/>
        <w:left w:val="none" w:sz="0" w:space="0" w:color="auto"/>
        <w:bottom w:val="none" w:sz="0" w:space="0" w:color="auto"/>
        <w:right w:val="none" w:sz="0" w:space="0" w:color="auto"/>
      </w:divBdr>
      <w:divsChild>
        <w:div w:id="760756440">
          <w:marLeft w:val="0"/>
          <w:marRight w:val="0"/>
          <w:marTop w:val="0"/>
          <w:marBottom w:val="0"/>
          <w:divBdr>
            <w:top w:val="none" w:sz="0" w:space="0" w:color="auto"/>
            <w:left w:val="none" w:sz="0" w:space="0" w:color="auto"/>
            <w:bottom w:val="none" w:sz="0" w:space="0" w:color="auto"/>
            <w:right w:val="none" w:sz="0" w:space="0" w:color="auto"/>
          </w:divBdr>
        </w:div>
        <w:div w:id="1353915036">
          <w:marLeft w:val="0"/>
          <w:marRight w:val="0"/>
          <w:marTop w:val="0"/>
          <w:marBottom w:val="0"/>
          <w:divBdr>
            <w:top w:val="none" w:sz="0" w:space="0" w:color="auto"/>
            <w:left w:val="none" w:sz="0" w:space="0" w:color="auto"/>
            <w:bottom w:val="none" w:sz="0" w:space="0" w:color="auto"/>
            <w:right w:val="none" w:sz="0" w:space="0" w:color="auto"/>
          </w:divBdr>
        </w:div>
        <w:div w:id="1382752168">
          <w:marLeft w:val="0"/>
          <w:marRight w:val="0"/>
          <w:marTop w:val="0"/>
          <w:marBottom w:val="0"/>
          <w:divBdr>
            <w:top w:val="none" w:sz="0" w:space="0" w:color="auto"/>
            <w:left w:val="none" w:sz="0" w:space="0" w:color="auto"/>
            <w:bottom w:val="none" w:sz="0" w:space="0" w:color="auto"/>
            <w:right w:val="none" w:sz="0" w:space="0" w:color="auto"/>
          </w:divBdr>
        </w:div>
        <w:div w:id="1903829246">
          <w:marLeft w:val="0"/>
          <w:marRight w:val="0"/>
          <w:marTop w:val="0"/>
          <w:marBottom w:val="0"/>
          <w:divBdr>
            <w:top w:val="none" w:sz="0" w:space="0" w:color="auto"/>
            <w:left w:val="none" w:sz="0" w:space="0" w:color="auto"/>
            <w:bottom w:val="none" w:sz="0" w:space="0" w:color="auto"/>
            <w:right w:val="none" w:sz="0" w:space="0" w:color="auto"/>
          </w:divBdr>
        </w:div>
      </w:divsChild>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sChild>
        <w:div w:id="1464150210">
          <w:marLeft w:val="0"/>
          <w:marRight w:val="0"/>
          <w:marTop w:val="0"/>
          <w:marBottom w:val="0"/>
          <w:divBdr>
            <w:top w:val="none" w:sz="0" w:space="0" w:color="auto"/>
            <w:left w:val="none" w:sz="0" w:space="0" w:color="auto"/>
            <w:bottom w:val="none" w:sz="0" w:space="0" w:color="auto"/>
            <w:right w:val="none" w:sz="0" w:space="0" w:color="auto"/>
          </w:divBdr>
        </w:div>
        <w:div w:id="798648279">
          <w:marLeft w:val="0"/>
          <w:marRight w:val="0"/>
          <w:marTop w:val="0"/>
          <w:marBottom w:val="0"/>
          <w:divBdr>
            <w:top w:val="none" w:sz="0" w:space="0" w:color="auto"/>
            <w:left w:val="none" w:sz="0" w:space="0" w:color="auto"/>
            <w:bottom w:val="none" w:sz="0" w:space="0" w:color="auto"/>
            <w:right w:val="none" w:sz="0" w:space="0" w:color="auto"/>
          </w:divBdr>
        </w:div>
      </w:divsChild>
    </w:div>
    <w:div w:id="1508207896">
      <w:bodyDiv w:val="1"/>
      <w:marLeft w:val="0"/>
      <w:marRight w:val="0"/>
      <w:marTop w:val="0"/>
      <w:marBottom w:val="0"/>
      <w:divBdr>
        <w:top w:val="none" w:sz="0" w:space="0" w:color="auto"/>
        <w:left w:val="none" w:sz="0" w:space="0" w:color="auto"/>
        <w:bottom w:val="none" w:sz="0" w:space="0" w:color="auto"/>
        <w:right w:val="none" w:sz="0" w:space="0" w:color="auto"/>
      </w:divBdr>
      <w:divsChild>
        <w:div w:id="166360971">
          <w:marLeft w:val="0"/>
          <w:marRight w:val="0"/>
          <w:marTop w:val="0"/>
          <w:marBottom w:val="0"/>
          <w:divBdr>
            <w:top w:val="none" w:sz="0" w:space="0" w:color="auto"/>
            <w:left w:val="none" w:sz="0" w:space="0" w:color="auto"/>
            <w:bottom w:val="none" w:sz="0" w:space="0" w:color="auto"/>
            <w:right w:val="none" w:sz="0" w:space="0" w:color="auto"/>
          </w:divBdr>
        </w:div>
        <w:div w:id="751118964">
          <w:marLeft w:val="0"/>
          <w:marRight w:val="0"/>
          <w:marTop w:val="0"/>
          <w:marBottom w:val="0"/>
          <w:divBdr>
            <w:top w:val="none" w:sz="0" w:space="0" w:color="auto"/>
            <w:left w:val="none" w:sz="0" w:space="0" w:color="auto"/>
            <w:bottom w:val="none" w:sz="0" w:space="0" w:color="auto"/>
            <w:right w:val="none" w:sz="0" w:space="0" w:color="auto"/>
          </w:divBdr>
        </w:div>
        <w:div w:id="754278302">
          <w:marLeft w:val="0"/>
          <w:marRight w:val="0"/>
          <w:marTop w:val="0"/>
          <w:marBottom w:val="0"/>
          <w:divBdr>
            <w:top w:val="none" w:sz="0" w:space="0" w:color="auto"/>
            <w:left w:val="none" w:sz="0" w:space="0" w:color="auto"/>
            <w:bottom w:val="none" w:sz="0" w:space="0" w:color="auto"/>
            <w:right w:val="none" w:sz="0" w:space="0" w:color="auto"/>
          </w:divBdr>
        </w:div>
        <w:div w:id="1197501998">
          <w:marLeft w:val="0"/>
          <w:marRight w:val="0"/>
          <w:marTop w:val="0"/>
          <w:marBottom w:val="0"/>
          <w:divBdr>
            <w:top w:val="none" w:sz="0" w:space="0" w:color="auto"/>
            <w:left w:val="none" w:sz="0" w:space="0" w:color="auto"/>
            <w:bottom w:val="none" w:sz="0" w:space="0" w:color="auto"/>
            <w:right w:val="none" w:sz="0" w:space="0" w:color="auto"/>
          </w:divBdr>
        </w:div>
        <w:div w:id="1991639655">
          <w:marLeft w:val="0"/>
          <w:marRight w:val="0"/>
          <w:marTop w:val="0"/>
          <w:marBottom w:val="0"/>
          <w:divBdr>
            <w:top w:val="none" w:sz="0" w:space="0" w:color="auto"/>
            <w:left w:val="none" w:sz="0" w:space="0" w:color="auto"/>
            <w:bottom w:val="none" w:sz="0" w:space="0" w:color="auto"/>
            <w:right w:val="none" w:sz="0" w:space="0" w:color="auto"/>
          </w:divBdr>
        </w:div>
        <w:div w:id="1017847666">
          <w:marLeft w:val="0"/>
          <w:marRight w:val="0"/>
          <w:marTop w:val="0"/>
          <w:marBottom w:val="0"/>
          <w:divBdr>
            <w:top w:val="none" w:sz="0" w:space="0" w:color="auto"/>
            <w:left w:val="none" w:sz="0" w:space="0" w:color="auto"/>
            <w:bottom w:val="none" w:sz="0" w:space="0" w:color="auto"/>
            <w:right w:val="none" w:sz="0" w:space="0" w:color="auto"/>
          </w:divBdr>
        </w:div>
      </w:divsChild>
    </w:div>
    <w:div w:id="1727534993">
      <w:bodyDiv w:val="1"/>
      <w:marLeft w:val="0"/>
      <w:marRight w:val="0"/>
      <w:marTop w:val="0"/>
      <w:marBottom w:val="0"/>
      <w:divBdr>
        <w:top w:val="none" w:sz="0" w:space="0" w:color="auto"/>
        <w:left w:val="none" w:sz="0" w:space="0" w:color="auto"/>
        <w:bottom w:val="none" w:sz="0" w:space="0" w:color="auto"/>
        <w:right w:val="none" w:sz="0" w:space="0" w:color="auto"/>
      </w:divBdr>
      <w:divsChild>
        <w:div w:id="1014575941">
          <w:marLeft w:val="0"/>
          <w:marRight w:val="0"/>
          <w:marTop w:val="0"/>
          <w:marBottom w:val="0"/>
          <w:divBdr>
            <w:top w:val="none" w:sz="0" w:space="0" w:color="auto"/>
            <w:left w:val="none" w:sz="0" w:space="0" w:color="auto"/>
            <w:bottom w:val="none" w:sz="0" w:space="0" w:color="auto"/>
            <w:right w:val="none" w:sz="0" w:space="0" w:color="auto"/>
          </w:divBdr>
        </w:div>
        <w:div w:id="16661804">
          <w:marLeft w:val="0"/>
          <w:marRight w:val="0"/>
          <w:marTop w:val="0"/>
          <w:marBottom w:val="0"/>
          <w:divBdr>
            <w:top w:val="none" w:sz="0" w:space="0" w:color="auto"/>
            <w:left w:val="none" w:sz="0" w:space="0" w:color="auto"/>
            <w:bottom w:val="none" w:sz="0" w:space="0" w:color="auto"/>
            <w:right w:val="none" w:sz="0" w:space="0" w:color="auto"/>
          </w:divBdr>
        </w:div>
        <w:div w:id="1272737646">
          <w:marLeft w:val="0"/>
          <w:marRight w:val="0"/>
          <w:marTop w:val="0"/>
          <w:marBottom w:val="0"/>
          <w:divBdr>
            <w:top w:val="none" w:sz="0" w:space="0" w:color="auto"/>
            <w:left w:val="none" w:sz="0" w:space="0" w:color="auto"/>
            <w:bottom w:val="none" w:sz="0" w:space="0" w:color="auto"/>
            <w:right w:val="none" w:sz="0" w:space="0" w:color="auto"/>
          </w:divBdr>
        </w:div>
        <w:div w:id="148447145">
          <w:marLeft w:val="0"/>
          <w:marRight w:val="0"/>
          <w:marTop w:val="0"/>
          <w:marBottom w:val="0"/>
          <w:divBdr>
            <w:top w:val="none" w:sz="0" w:space="0" w:color="auto"/>
            <w:left w:val="none" w:sz="0" w:space="0" w:color="auto"/>
            <w:bottom w:val="none" w:sz="0" w:space="0" w:color="auto"/>
            <w:right w:val="none" w:sz="0" w:space="0" w:color="auto"/>
          </w:divBdr>
        </w:div>
        <w:div w:id="692071998">
          <w:marLeft w:val="0"/>
          <w:marRight w:val="0"/>
          <w:marTop w:val="0"/>
          <w:marBottom w:val="0"/>
          <w:divBdr>
            <w:top w:val="none" w:sz="0" w:space="0" w:color="auto"/>
            <w:left w:val="none" w:sz="0" w:space="0" w:color="auto"/>
            <w:bottom w:val="none" w:sz="0" w:space="0" w:color="auto"/>
            <w:right w:val="none" w:sz="0" w:space="0" w:color="auto"/>
          </w:divBdr>
        </w:div>
        <w:div w:id="522986321">
          <w:marLeft w:val="0"/>
          <w:marRight w:val="0"/>
          <w:marTop w:val="0"/>
          <w:marBottom w:val="0"/>
          <w:divBdr>
            <w:top w:val="none" w:sz="0" w:space="0" w:color="auto"/>
            <w:left w:val="none" w:sz="0" w:space="0" w:color="auto"/>
            <w:bottom w:val="none" w:sz="0" w:space="0" w:color="auto"/>
            <w:right w:val="none" w:sz="0" w:space="0" w:color="auto"/>
          </w:divBdr>
        </w:div>
        <w:div w:id="2008820124">
          <w:marLeft w:val="0"/>
          <w:marRight w:val="0"/>
          <w:marTop w:val="0"/>
          <w:marBottom w:val="0"/>
          <w:divBdr>
            <w:top w:val="none" w:sz="0" w:space="0" w:color="auto"/>
            <w:left w:val="none" w:sz="0" w:space="0" w:color="auto"/>
            <w:bottom w:val="none" w:sz="0" w:space="0" w:color="auto"/>
            <w:right w:val="none" w:sz="0" w:space="0" w:color="auto"/>
          </w:divBdr>
        </w:div>
        <w:div w:id="1684553001">
          <w:marLeft w:val="0"/>
          <w:marRight w:val="0"/>
          <w:marTop w:val="0"/>
          <w:marBottom w:val="0"/>
          <w:divBdr>
            <w:top w:val="none" w:sz="0" w:space="0" w:color="auto"/>
            <w:left w:val="none" w:sz="0" w:space="0" w:color="auto"/>
            <w:bottom w:val="none" w:sz="0" w:space="0" w:color="auto"/>
            <w:right w:val="none" w:sz="0" w:space="0" w:color="auto"/>
          </w:divBdr>
        </w:div>
        <w:div w:id="1738161735">
          <w:marLeft w:val="0"/>
          <w:marRight w:val="0"/>
          <w:marTop w:val="0"/>
          <w:marBottom w:val="0"/>
          <w:divBdr>
            <w:top w:val="none" w:sz="0" w:space="0" w:color="auto"/>
            <w:left w:val="none" w:sz="0" w:space="0" w:color="auto"/>
            <w:bottom w:val="none" w:sz="0" w:space="0" w:color="auto"/>
            <w:right w:val="none" w:sz="0" w:space="0" w:color="auto"/>
          </w:divBdr>
        </w:div>
        <w:div w:id="1137533872">
          <w:marLeft w:val="0"/>
          <w:marRight w:val="0"/>
          <w:marTop w:val="0"/>
          <w:marBottom w:val="0"/>
          <w:divBdr>
            <w:top w:val="none" w:sz="0" w:space="0" w:color="auto"/>
            <w:left w:val="none" w:sz="0" w:space="0" w:color="auto"/>
            <w:bottom w:val="none" w:sz="0" w:space="0" w:color="auto"/>
            <w:right w:val="none" w:sz="0" w:space="0" w:color="auto"/>
          </w:divBdr>
        </w:div>
        <w:div w:id="1836261089">
          <w:marLeft w:val="0"/>
          <w:marRight w:val="0"/>
          <w:marTop w:val="0"/>
          <w:marBottom w:val="0"/>
          <w:divBdr>
            <w:top w:val="none" w:sz="0" w:space="0" w:color="auto"/>
            <w:left w:val="none" w:sz="0" w:space="0" w:color="auto"/>
            <w:bottom w:val="none" w:sz="0" w:space="0" w:color="auto"/>
            <w:right w:val="none" w:sz="0" w:space="0" w:color="auto"/>
          </w:divBdr>
        </w:div>
        <w:div w:id="857887365">
          <w:marLeft w:val="0"/>
          <w:marRight w:val="0"/>
          <w:marTop w:val="0"/>
          <w:marBottom w:val="0"/>
          <w:divBdr>
            <w:top w:val="none" w:sz="0" w:space="0" w:color="auto"/>
            <w:left w:val="none" w:sz="0" w:space="0" w:color="auto"/>
            <w:bottom w:val="none" w:sz="0" w:space="0" w:color="auto"/>
            <w:right w:val="none" w:sz="0" w:space="0" w:color="auto"/>
          </w:divBdr>
        </w:div>
        <w:div w:id="1571767082">
          <w:marLeft w:val="0"/>
          <w:marRight w:val="0"/>
          <w:marTop w:val="0"/>
          <w:marBottom w:val="0"/>
          <w:divBdr>
            <w:top w:val="none" w:sz="0" w:space="0" w:color="auto"/>
            <w:left w:val="none" w:sz="0" w:space="0" w:color="auto"/>
            <w:bottom w:val="none" w:sz="0" w:space="0" w:color="auto"/>
            <w:right w:val="none" w:sz="0" w:space="0" w:color="auto"/>
          </w:divBdr>
        </w:div>
        <w:div w:id="912933188">
          <w:marLeft w:val="0"/>
          <w:marRight w:val="0"/>
          <w:marTop w:val="0"/>
          <w:marBottom w:val="0"/>
          <w:divBdr>
            <w:top w:val="none" w:sz="0" w:space="0" w:color="auto"/>
            <w:left w:val="none" w:sz="0" w:space="0" w:color="auto"/>
            <w:bottom w:val="none" w:sz="0" w:space="0" w:color="auto"/>
            <w:right w:val="none" w:sz="0" w:space="0" w:color="auto"/>
          </w:divBdr>
        </w:div>
        <w:div w:id="1949240060">
          <w:marLeft w:val="0"/>
          <w:marRight w:val="0"/>
          <w:marTop w:val="0"/>
          <w:marBottom w:val="0"/>
          <w:divBdr>
            <w:top w:val="none" w:sz="0" w:space="0" w:color="auto"/>
            <w:left w:val="none" w:sz="0" w:space="0" w:color="auto"/>
            <w:bottom w:val="none" w:sz="0" w:space="0" w:color="auto"/>
            <w:right w:val="none" w:sz="0" w:space="0" w:color="auto"/>
          </w:divBdr>
        </w:div>
        <w:div w:id="1631396228">
          <w:marLeft w:val="0"/>
          <w:marRight w:val="0"/>
          <w:marTop w:val="0"/>
          <w:marBottom w:val="0"/>
          <w:divBdr>
            <w:top w:val="none" w:sz="0" w:space="0" w:color="auto"/>
            <w:left w:val="none" w:sz="0" w:space="0" w:color="auto"/>
            <w:bottom w:val="none" w:sz="0" w:space="0" w:color="auto"/>
            <w:right w:val="none" w:sz="0" w:space="0" w:color="auto"/>
          </w:divBdr>
        </w:div>
        <w:div w:id="1433623694">
          <w:marLeft w:val="0"/>
          <w:marRight w:val="0"/>
          <w:marTop w:val="0"/>
          <w:marBottom w:val="0"/>
          <w:divBdr>
            <w:top w:val="none" w:sz="0" w:space="0" w:color="auto"/>
            <w:left w:val="none" w:sz="0" w:space="0" w:color="auto"/>
            <w:bottom w:val="none" w:sz="0" w:space="0" w:color="auto"/>
            <w:right w:val="none" w:sz="0" w:space="0" w:color="auto"/>
          </w:divBdr>
        </w:div>
        <w:div w:id="1222670450">
          <w:marLeft w:val="0"/>
          <w:marRight w:val="0"/>
          <w:marTop w:val="0"/>
          <w:marBottom w:val="0"/>
          <w:divBdr>
            <w:top w:val="none" w:sz="0" w:space="0" w:color="auto"/>
            <w:left w:val="none" w:sz="0" w:space="0" w:color="auto"/>
            <w:bottom w:val="none" w:sz="0" w:space="0" w:color="auto"/>
            <w:right w:val="none" w:sz="0" w:space="0" w:color="auto"/>
          </w:divBdr>
        </w:div>
        <w:div w:id="1753312606">
          <w:marLeft w:val="0"/>
          <w:marRight w:val="0"/>
          <w:marTop w:val="0"/>
          <w:marBottom w:val="0"/>
          <w:divBdr>
            <w:top w:val="none" w:sz="0" w:space="0" w:color="auto"/>
            <w:left w:val="none" w:sz="0" w:space="0" w:color="auto"/>
            <w:bottom w:val="none" w:sz="0" w:space="0" w:color="auto"/>
            <w:right w:val="none" w:sz="0" w:space="0" w:color="auto"/>
          </w:divBdr>
        </w:div>
        <w:div w:id="1466653599">
          <w:marLeft w:val="0"/>
          <w:marRight w:val="0"/>
          <w:marTop w:val="0"/>
          <w:marBottom w:val="0"/>
          <w:divBdr>
            <w:top w:val="none" w:sz="0" w:space="0" w:color="auto"/>
            <w:left w:val="none" w:sz="0" w:space="0" w:color="auto"/>
            <w:bottom w:val="none" w:sz="0" w:space="0" w:color="auto"/>
            <w:right w:val="none" w:sz="0" w:space="0" w:color="auto"/>
          </w:divBdr>
        </w:div>
        <w:div w:id="239028161">
          <w:marLeft w:val="0"/>
          <w:marRight w:val="0"/>
          <w:marTop w:val="0"/>
          <w:marBottom w:val="0"/>
          <w:divBdr>
            <w:top w:val="none" w:sz="0" w:space="0" w:color="auto"/>
            <w:left w:val="none" w:sz="0" w:space="0" w:color="auto"/>
            <w:bottom w:val="none" w:sz="0" w:space="0" w:color="auto"/>
            <w:right w:val="none" w:sz="0" w:space="0" w:color="auto"/>
          </w:divBdr>
        </w:div>
        <w:div w:id="1554853519">
          <w:marLeft w:val="0"/>
          <w:marRight w:val="0"/>
          <w:marTop w:val="0"/>
          <w:marBottom w:val="0"/>
          <w:divBdr>
            <w:top w:val="none" w:sz="0" w:space="0" w:color="auto"/>
            <w:left w:val="none" w:sz="0" w:space="0" w:color="auto"/>
            <w:bottom w:val="none" w:sz="0" w:space="0" w:color="auto"/>
            <w:right w:val="none" w:sz="0" w:space="0" w:color="auto"/>
          </w:divBdr>
        </w:div>
        <w:div w:id="860826929">
          <w:marLeft w:val="0"/>
          <w:marRight w:val="0"/>
          <w:marTop w:val="0"/>
          <w:marBottom w:val="0"/>
          <w:divBdr>
            <w:top w:val="none" w:sz="0" w:space="0" w:color="auto"/>
            <w:left w:val="none" w:sz="0" w:space="0" w:color="auto"/>
            <w:bottom w:val="none" w:sz="0" w:space="0" w:color="auto"/>
            <w:right w:val="none" w:sz="0" w:space="0" w:color="auto"/>
          </w:divBdr>
        </w:div>
        <w:div w:id="1454322868">
          <w:marLeft w:val="0"/>
          <w:marRight w:val="0"/>
          <w:marTop w:val="0"/>
          <w:marBottom w:val="0"/>
          <w:divBdr>
            <w:top w:val="none" w:sz="0" w:space="0" w:color="auto"/>
            <w:left w:val="none" w:sz="0" w:space="0" w:color="auto"/>
            <w:bottom w:val="none" w:sz="0" w:space="0" w:color="auto"/>
            <w:right w:val="none" w:sz="0" w:space="0" w:color="auto"/>
          </w:divBdr>
        </w:div>
        <w:div w:id="1872378048">
          <w:marLeft w:val="0"/>
          <w:marRight w:val="0"/>
          <w:marTop w:val="0"/>
          <w:marBottom w:val="0"/>
          <w:divBdr>
            <w:top w:val="none" w:sz="0" w:space="0" w:color="auto"/>
            <w:left w:val="none" w:sz="0" w:space="0" w:color="auto"/>
            <w:bottom w:val="none" w:sz="0" w:space="0" w:color="auto"/>
            <w:right w:val="none" w:sz="0" w:space="0" w:color="auto"/>
          </w:divBdr>
        </w:div>
        <w:div w:id="761101031">
          <w:marLeft w:val="0"/>
          <w:marRight w:val="0"/>
          <w:marTop w:val="0"/>
          <w:marBottom w:val="0"/>
          <w:divBdr>
            <w:top w:val="none" w:sz="0" w:space="0" w:color="auto"/>
            <w:left w:val="none" w:sz="0" w:space="0" w:color="auto"/>
            <w:bottom w:val="none" w:sz="0" w:space="0" w:color="auto"/>
            <w:right w:val="none" w:sz="0" w:space="0" w:color="auto"/>
          </w:divBdr>
        </w:div>
        <w:div w:id="531112029">
          <w:marLeft w:val="0"/>
          <w:marRight w:val="0"/>
          <w:marTop w:val="0"/>
          <w:marBottom w:val="0"/>
          <w:divBdr>
            <w:top w:val="none" w:sz="0" w:space="0" w:color="auto"/>
            <w:left w:val="none" w:sz="0" w:space="0" w:color="auto"/>
            <w:bottom w:val="none" w:sz="0" w:space="0" w:color="auto"/>
            <w:right w:val="none" w:sz="0" w:space="0" w:color="auto"/>
          </w:divBdr>
        </w:div>
        <w:div w:id="579952678">
          <w:marLeft w:val="0"/>
          <w:marRight w:val="0"/>
          <w:marTop w:val="0"/>
          <w:marBottom w:val="0"/>
          <w:divBdr>
            <w:top w:val="none" w:sz="0" w:space="0" w:color="auto"/>
            <w:left w:val="none" w:sz="0" w:space="0" w:color="auto"/>
            <w:bottom w:val="none" w:sz="0" w:space="0" w:color="auto"/>
            <w:right w:val="none" w:sz="0" w:space="0" w:color="auto"/>
          </w:divBdr>
        </w:div>
        <w:div w:id="1068764563">
          <w:marLeft w:val="0"/>
          <w:marRight w:val="0"/>
          <w:marTop w:val="0"/>
          <w:marBottom w:val="0"/>
          <w:divBdr>
            <w:top w:val="none" w:sz="0" w:space="0" w:color="auto"/>
            <w:left w:val="none" w:sz="0" w:space="0" w:color="auto"/>
            <w:bottom w:val="none" w:sz="0" w:space="0" w:color="auto"/>
            <w:right w:val="none" w:sz="0" w:space="0" w:color="auto"/>
          </w:divBdr>
        </w:div>
        <w:div w:id="1254165176">
          <w:marLeft w:val="0"/>
          <w:marRight w:val="0"/>
          <w:marTop w:val="0"/>
          <w:marBottom w:val="0"/>
          <w:divBdr>
            <w:top w:val="none" w:sz="0" w:space="0" w:color="auto"/>
            <w:left w:val="none" w:sz="0" w:space="0" w:color="auto"/>
            <w:bottom w:val="none" w:sz="0" w:space="0" w:color="auto"/>
            <w:right w:val="none" w:sz="0" w:space="0" w:color="auto"/>
          </w:divBdr>
        </w:div>
        <w:div w:id="927350884">
          <w:marLeft w:val="0"/>
          <w:marRight w:val="0"/>
          <w:marTop w:val="0"/>
          <w:marBottom w:val="0"/>
          <w:divBdr>
            <w:top w:val="none" w:sz="0" w:space="0" w:color="auto"/>
            <w:left w:val="none" w:sz="0" w:space="0" w:color="auto"/>
            <w:bottom w:val="none" w:sz="0" w:space="0" w:color="auto"/>
            <w:right w:val="none" w:sz="0" w:space="0" w:color="auto"/>
          </w:divBdr>
        </w:div>
        <w:div w:id="1411736487">
          <w:marLeft w:val="0"/>
          <w:marRight w:val="0"/>
          <w:marTop w:val="0"/>
          <w:marBottom w:val="0"/>
          <w:divBdr>
            <w:top w:val="none" w:sz="0" w:space="0" w:color="auto"/>
            <w:left w:val="none" w:sz="0" w:space="0" w:color="auto"/>
            <w:bottom w:val="none" w:sz="0" w:space="0" w:color="auto"/>
            <w:right w:val="none" w:sz="0" w:space="0" w:color="auto"/>
          </w:divBdr>
        </w:div>
        <w:div w:id="601497271">
          <w:marLeft w:val="0"/>
          <w:marRight w:val="0"/>
          <w:marTop w:val="0"/>
          <w:marBottom w:val="0"/>
          <w:divBdr>
            <w:top w:val="none" w:sz="0" w:space="0" w:color="auto"/>
            <w:left w:val="none" w:sz="0" w:space="0" w:color="auto"/>
            <w:bottom w:val="none" w:sz="0" w:space="0" w:color="auto"/>
            <w:right w:val="none" w:sz="0" w:space="0" w:color="auto"/>
          </w:divBdr>
        </w:div>
        <w:div w:id="1770274873">
          <w:marLeft w:val="0"/>
          <w:marRight w:val="0"/>
          <w:marTop w:val="0"/>
          <w:marBottom w:val="0"/>
          <w:divBdr>
            <w:top w:val="none" w:sz="0" w:space="0" w:color="auto"/>
            <w:left w:val="none" w:sz="0" w:space="0" w:color="auto"/>
            <w:bottom w:val="none" w:sz="0" w:space="0" w:color="auto"/>
            <w:right w:val="none" w:sz="0" w:space="0" w:color="auto"/>
          </w:divBdr>
        </w:div>
      </w:divsChild>
    </w:div>
    <w:div w:id="1759129679">
      <w:bodyDiv w:val="1"/>
      <w:marLeft w:val="0"/>
      <w:marRight w:val="0"/>
      <w:marTop w:val="0"/>
      <w:marBottom w:val="0"/>
      <w:divBdr>
        <w:top w:val="none" w:sz="0" w:space="0" w:color="auto"/>
        <w:left w:val="none" w:sz="0" w:space="0" w:color="auto"/>
        <w:bottom w:val="none" w:sz="0" w:space="0" w:color="auto"/>
        <w:right w:val="none" w:sz="0" w:space="0" w:color="auto"/>
      </w:divBdr>
      <w:divsChild>
        <w:div w:id="1339118328">
          <w:marLeft w:val="0"/>
          <w:marRight w:val="0"/>
          <w:marTop w:val="0"/>
          <w:marBottom w:val="0"/>
          <w:divBdr>
            <w:top w:val="none" w:sz="0" w:space="0" w:color="auto"/>
            <w:left w:val="none" w:sz="0" w:space="0" w:color="auto"/>
            <w:bottom w:val="none" w:sz="0" w:space="0" w:color="auto"/>
            <w:right w:val="none" w:sz="0" w:space="0" w:color="auto"/>
          </w:divBdr>
        </w:div>
        <w:div w:id="332026226">
          <w:marLeft w:val="0"/>
          <w:marRight w:val="0"/>
          <w:marTop w:val="0"/>
          <w:marBottom w:val="0"/>
          <w:divBdr>
            <w:top w:val="none" w:sz="0" w:space="0" w:color="auto"/>
            <w:left w:val="none" w:sz="0" w:space="0" w:color="auto"/>
            <w:bottom w:val="none" w:sz="0" w:space="0" w:color="auto"/>
            <w:right w:val="none" w:sz="0" w:space="0" w:color="auto"/>
          </w:divBdr>
        </w:div>
        <w:div w:id="866910464">
          <w:marLeft w:val="0"/>
          <w:marRight w:val="0"/>
          <w:marTop w:val="0"/>
          <w:marBottom w:val="0"/>
          <w:divBdr>
            <w:top w:val="none" w:sz="0" w:space="0" w:color="auto"/>
            <w:left w:val="none" w:sz="0" w:space="0" w:color="auto"/>
            <w:bottom w:val="none" w:sz="0" w:space="0" w:color="auto"/>
            <w:right w:val="none" w:sz="0" w:space="0" w:color="auto"/>
          </w:divBdr>
        </w:div>
      </w:divsChild>
    </w:div>
    <w:div w:id="1773355681">
      <w:bodyDiv w:val="1"/>
      <w:marLeft w:val="0"/>
      <w:marRight w:val="0"/>
      <w:marTop w:val="0"/>
      <w:marBottom w:val="0"/>
      <w:divBdr>
        <w:top w:val="none" w:sz="0" w:space="0" w:color="auto"/>
        <w:left w:val="none" w:sz="0" w:space="0" w:color="auto"/>
        <w:bottom w:val="none" w:sz="0" w:space="0" w:color="auto"/>
        <w:right w:val="none" w:sz="0" w:space="0" w:color="auto"/>
      </w:divBdr>
      <w:divsChild>
        <w:div w:id="1294025360">
          <w:marLeft w:val="0"/>
          <w:marRight w:val="0"/>
          <w:marTop w:val="0"/>
          <w:marBottom w:val="0"/>
          <w:divBdr>
            <w:top w:val="none" w:sz="0" w:space="0" w:color="auto"/>
            <w:left w:val="none" w:sz="0" w:space="0" w:color="auto"/>
            <w:bottom w:val="none" w:sz="0" w:space="0" w:color="auto"/>
            <w:right w:val="none" w:sz="0" w:space="0" w:color="auto"/>
          </w:divBdr>
        </w:div>
        <w:div w:id="774136887">
          <w:marLeft w:val="0"/>
          <w:marRight w:val="0"/>
          <w:marTop w:val="0"/>
          <w:marBottom w:val="0"/>
          <w:divBdr>
            <w:top w:val="none" w:sz="0" w:space="0" w:color="auto"/>
            <w:left w:val="none" w:sz="0" w:space="0" w:color="auto"/>
            <w:bottom w:val="none" w:sz="0" w:space="0" w:color="auto"/>
            <w:right w:val="none" w:sz="0" w:space="0" w:color="auto"/>
          </w:divBdr>
        </w:div>
        <w:div w:id="850147644">
          <w:marLeft w:val="0"/>
          <w:marRight w:val="0"/>
          <w:marTop w:val="0"/>
          <w:marBottom w:val="0"/>
          <w:divBdr>
            <w:top w:val="none" w:sz="0" w:space="0" w:color="auto"/>
            <w:left w:val="none" w:sz="0" w:space="0" w:color="auto"/>
            <w:bottom w:val="none" w:sz="0" w:space="0" w:color="auto"/>
            <w:right w:val="none" w:sz="0" w:space="0" w:color="auto"/>
          </w:divBdr>
        </w:div>
        <w:div w:id="964699213">
          <w:marLeft w:val="0"/>
          <w:marRight w:val="0"/>
          <w:marTop w:val="0"/>
          <w:marBottom w:val="0"/>
          <w:divBdr>
            <w:top w:val="none" w:sz="0" w:space="0" w:color="auto"/>
            <w:left w:val="none" w:sz="0" w:space="0" w:color="auto"/>
            <w:bottom w:val="none" w:sz="0" w:space="0" w:color="auto"/>
            <w:right w:val="none" w:sz="0" w:space="0" w:color="auto"/>
          </w:divBdr>
        </w:div>
        <w:div w:id="714740299">
          <w:marLeft w:val="0"/>
          <w:marRight w:val="0"/>
          <w:marTop w:val="0"/>
          <w:marBottom w:val="0"/>
          <w:divBdr>
            <w:top w:val="none" w:sz="0" w:space="0" w:color="auto"/>
            <w:left w:val="none" w:sz="0" w:space="0" w:color="auto"/>
            <w:bottom w:val="none" w:sz="0" w:space="0" w:color="auto"/>
            <w:right w:val="none" w:sz="0" w:space="0" w:color="auto"/>
          </w:divBdr>
        </w:div>
        <w:div w:id="1159731923">
          <w:marLeft w:val="0"/>
          <w:marRight w:val="0"/>
          <w:marTop w:val="0"/>
          <w:marBottom w:val="0"/>
          <w:divBdr>
            <w:top w:val="none" w:sz="0" w:space="0" w:color="auto"/>
            <w:left w:val="none" w:sz="0" w:space="0" w:color="auto"/>
            <w:bottom w:val="none" w:sz="0" w:space="0" w:color="auto"/>
            <w:right w:val="none" w:sz="0" w:space="0" w:color="auto"/>
          </w:divBdr>
        </w:div>
        <w:div w:id="259916558">
          <w:marLeft w:val="0"/>
          <w:marRight w:val="0"/>
          <w:marTop w:val="0"/>
          <w:marBottom w:val="0"/>
          <w:divBdr>
            <w:top w:val="none" w:sz="0" w:space="0" w:color="auto"/>
            <w:left w:val="none" w:sz="0" w:space="0" w:color="auto"/>
            <w:bottom w:val="none" w:sz="0" w:space="0" w:color="auto"/>
            <w:right w:val="none" w:sz="0" w:space="0" w:color="auto"/>
          </w:divBdr>
        </w:div>
        <w:div w:id="704449702">
          <w:marLeft w:val="0"/>
          <w:marRight w:val="0"/>
          <w:marTop w:val="0"/>
          <w:marBottom w:val="0"/>
          <w:divBdr>
            <w:top w:val="none" w:sz="0" w:space="0" w:color="auto"/>
            <w:left w:val="none" w:sz="0" w:space="0" w:color="auto"/>
            <w:bottom w:val="none" w:sz="0" w:space="0" w:color="auto"/>
            <w:right w:val="none" w:sz="0" w:space="0" w:color="auto"/>
          </w:divBdr>
        </w:div>
        <w:div w:id="1368095065">
          <w:marLeft w:val="0"/>
          <w:marRight w:val="0"/>
          <w:marTop w:val="0"/>
          <w:marBottom w:val="0"/>
          <w:divBdr>
            <w:top w:val="none" w:sz="0" w:space="0" w:color="auto"/>
            <w:left w:val="none" w:sz="0" w:space="0" w:color="auto"/>
            <w:bottom w:val="none" w:sz="0" w:space="0" w:color="auto"/>
            <w:right w:val="none" w:sz="0" w:space="0" w:color="auto"/>
          </w:divBdr>
        </w:div>
        <w:div w:id="1700354030">
          <w:marLeft w:val="0"/>
          <w:marRight w:val="0"/>
          <w:marTop w:val="0"/>
          <w:marBottom w:val="0"/>
          <w:divBdr>
            <w:top w:val="none" w:sz="0" w:space="0" w:color="auto"/>
            <w:left w:val="none" w:sz="0" w:space="0" w:color="auto"/>
            <w:bottom w:val="none" w:sz="0" w:space="0" w:color="auto"/>
            <w:right w:val="none" w:sz="0" w:space="0" w:color="auto"/>
          </w:divBdr>
        </w:div>
        <w:div w:id="1437750539">
          <w:marLeft w:val="0"/>
          <w:marRight w:val="0"/>
          <w:marTop w:val="0"/>
          <w:marBottom w:val="0"/>
          <w:divBdr>
            <w:top w:val="none" w:sz="0" w:space="0" w:color="auto"/>
            <w:left w:val="none" w:sz="0" w:space="0" w:color="auto"/>
            <w:bottom w:val="none" w:sz="0" w:space="0" w:color="auto"/>
            <w:right w:val="none" w:sz="0" w:space="0" w:color="auto"/>
          </w:divBdr>
        </w:div>
        <w:div w:id="908731753">
          <w:marLeft w:val="0"/>
          <w:marRight w:val="0"/>
          <w:marTop w:val="0"/>
          <w:marBottom w:val="0"/>
          <w:divBdr>
            <w:top w:val="none" w:sz="0" w:space="0" w:color="auto"/>
            <w:left w:val="none" w:sz="0" w:space="0" w:color="auto"/>
            <w:bottom w:val="none" w:sz="0" w:space="0" w:color="auto"/>
            <w:right w:val="none" w:sz="0" w:space="0" w:color="auto"/>
          </w:divBdr>
        </w:div>
        <w:div w:id="968434517">
          <w:marLeft w:val="0"/>
          <w:marRight w:val="0"/>
          <w:marTop w:val="0"/>
          <w:marBottom w:val="0"/>
          <w:divBdr>
            <w:top w:val="none" w:sz="0" w:space="0" w:color="auto"/>
            <w:left w:val="none" w:sz="0" w:space="0" w:color="auto"/>
            <w:bottom w:val="none" w:sz="0" w:space="0" w:color="auto"/>
            <w:right w:val="none" w:sz="0" w:space="0" w:color="auto"/>
          </w:divBdr>
        </w:div>
        <w:div w:id="1997227430">
          <w:marLeft w:val="0"/>
          <w:marRight w:val="0"/>
          <w:marTop w:val="0"/>
          <w:marBottom w:val="0"/>
          <w:divBdr>
            <w:top w:val="none" w:sz="0" w:space="0" w:color="auto"/>
            <w:left w:val="none" w:sz="0" w:space="0" w:color="auto"/>
            <w:bottom w:val="none" w:sz="0" w:space="0" w:color="auto"/>
            <w:right w:val="none" w:sz="0" w:space="0" w:color="auto"/>
          </w:divBdr>
        </w:div>
        <w:div w:id="2121676698">
          <w:marLeft w:val="0"/>
          <w:marRight w:val="0"/>
          <w:marTop w:val="0"/>
          <w:marBottom w:val="0"/>
          <w:divBdr>
            <w:top w:val="none" w:sz="0" w:space="0" w:color="auto"/>
            <w:left w:val="none" w:sz="0" w:space="0" w:color="auto"/>
            <w:bottom w:val="none" w:sz="0" w:space="0" w:color="auto"/>
            <w:right w:val="none" w:sz="0" w:space="0" w:color="auto"/>
          </w:divBdr>
        </w:div>
        <w:div w:id="506870402">
          <w:marLeft w:val="0"/>
          <w:marRight w:val="0"/>
          <w:marTop w:val="0"/>
          <w:marBottom w:val="0"/>
          <w:divBdr>
            <w:top w:val="none" w:sz="0" w:space="0" w:color="auto"/>
            <w:left w:val="none" w:sz="0" w:space="0" w:color="auto"/>
            <w:bottom w:val="none" w:sz="0" w:space="0" w:color="auto"/>
            <w:right w:val="none" w:sz="0" w:space="0" w:color="auto"/>
          </w:divBdr>
        </w:div>
        <w:div w:id="944850234">
          <w:marLeft w:val="0"/>
          <w:marRight w:val="0"/>
          <w:marTop w:val="0"/>
          <w:marBottom w:val="0"/>
          <w:divBdr>
            <w:top w:val="none" w:sz="0" w:space="0" w:color="auto"/>
            <w:left w:val="none" w:sz="0" w:space="0" w:color="auto"/>
            <w:bottom w:val="none" w:sz="0" w:space="0" w:color="auto"/>
            <w:right w:val="none" w:sz="0" w:space="0" w:color="auto"/>
          </w:divBdr>
        </w:div>
        <w:div w:id="1769933346">
          <w:marLeft w:val="0"/>
          <w:marRight w:val="0"/>
          <w:marTop w:val="0"/>
          <w:marBottom w:val="0"/>
          <w:divBdr>
            <w:top w:val="none" w:sz="0" w:space="0" w:color="auto"/>
            <w:left w:val="none" w:sz="0" w:space="0" w:color="auto"/>
            <w:bottom w:val="none" w:sz="0" w:space="0" w:color="auto"/>
            <w:right w:val="none" w:sz="0" w:space="0" w:color="auto"/>
          </w:divBdr>
        </w:div>
        <w:div w:id="913318764">
          <w:marLeft w:val="0"/>
          <w:marRight w:val="0"/>
          <w:marTop w:val="0"/>
          <w:marBottom w:val="0"/>
          <w:divBdr>
            <w:top w:val="none" w:sz="0" w:space="0" w:color="auto"/>
            <w:left w:val="none" w:sz="0" w:space="0" w:color="auto"/>
            <w:bottom w:val="none" w:sz="0" w:space="0" w:color="auto"/>
            <w:right w:val="none" w:sz="0" w:space="0" w:color="auto"/>
          </w:divBdr>
        </w:div>
        <w:div w:id="1726446932">
          <w:marLeft w:val="0"/>
          <w:marRight w:val="0"/>
          <w:marTop w:val="0"/>
          <w:marBottom w:val="0"/>
          <w:divBdr>
            <w:top w:val="none" w:sz="0" w:space="0" w:color="auto"/>
            <w:left w:val="none" w:sz="0" w:space="0" w:color="auto"/>
            <w:bottom w:val="none" w:sz="0" w:space="0" w:color="auto"/>
            <w:right w:val="none" w:sz="0" w:space="0" w:color="auto"/>
          </w:divBdr>
        </w:div>
        <w:div w:id="792872459">
          <w:marLeft w:val="0"/>
          <w:marRight w:val="0"/>
          <w:marTop w:val="0"/>
          <w:marBottom w:val="0"/>
          <w:divBdr>
            <w:top w:val="none" w:sz="0" w:space="0" w:color="auto"/>
            <w:left w:val="none" w:sz="0" w:space="0" w:color="auto"/>
            <w:bottom w:val="none" w:sz="0" w:space="0" w:color="auto"/>
            <w:right w:val="none" w:sz="0" w:space="0" w:color="auto"/>
          </w:divBdr>
        </w:div>
        <w:div w:id="1063288483">
          <w:marLeft w:val="0"/>
          <w:marRight w:val="0"/>
          <w:marTop w:val="0"/>
          <w:marBottom w:val="0"/>
          <w:divBdr>
            <w:top w:val="none" w:sz="0" w:space="0" w:color="auto"/>
            <w:left w:val="none" w:sz="0" w:space="0" w:color="auto"/>
            <w:bottom w:val="none" w:sz="0" w:space="0" w:color="auto"/>
            <w:right w:val="none" w:sz="0" w:space="0" w:color="auto"/>
          </w:divBdr>
        </w:div>
        <w:div w:id="1628849276">
          <w:marLeft w:val="0"/>
          <w:marRight w:val="0"/>
          <w:marTop w:val="0"/>
          <w:marBottom w:val="0"/>
          <w:divBdr>
            <w:top w:val="none" w:sz="0" w:space="0" w:color="auto"/>
            <w:left w:val="none" w:sz="0" w:space="0" w:color="auto"/>
            <w:bottom w:val="none" w:sz="0" w:space="0" w:color="auto"/>
            <w:right w:val="none" w:sz="0" w:space="0" w:color="auto"/>
          </w:divBdr>
        </w:div>
        <w:div w:id="1636519076">
          <w:marLeft w:val="0"/>
          <w:marRight w:val="0"/>
          <w:marTop w:val="0"/>
          <w:marBottom w:val="0"/>
          <w:divBdr>
            <w:top w:val="none" w:sz="0" w:space="0" w:color="auto"/>
            <w:left w:val="none" w:sz="0" w:space="0" w:color="auto"/>
            <w:bottom w:val="none" w:sz="0" w:space="0" w:color="auto"/>
            <w:right w:val="none" w:sz="0" w:space="0" w:color="auto"/>
          </w:divBdr>
        </w:div>
        <w:div w:id="1313096988">
          <w:marLeft w:val="0"/>
          <w:marRight w:val="0"/>
          <w:marTop w:val="0"/>
          <w:marBottom w:val="0"/>
          <w:divBdr>
            <w:top w:val="none" w:sz="0" w:space="0" w:color="auto"/>
            <w:left w:val="none" w:sz="0" w:space="0" w:color="auto"/>
            <w:bottom w:val="none" w:sz="0" w:space="0" w:color="auto"/>
            <w:right w:val="none" w:sz="0" w:space="0" w:color="auto"/>
          </w:divBdr>
        </w:div>
        <w:div w:id="1577864245">
          <w:marLeft w:val="0"/>
          <w:marRight w:val="0"/>
          <w:marTop w:val="0"/>
          <w:marBottom w:val="0"/>
          <w:divBdr>
            <w:top w:val="none" w:sz="0" w:space="0" w:color="auto"/>
            <w:left w:val="none" w:sz="0" w:space="0" w:color="auto"/>
            <w:bottom w:val="none" w:sz="0" w:space="0" w:color="auto"/>
            <w:right w:val="none" w:sz="0" w:space="0" w:color="auto"/>
          </w:divBdr>
        </w:div>
        <w:div w:id="729158627">
          <w:marLeft w:val="0"/>
          <w:marRight w:val="0"/>
          <w:marTop w:val="0"/>
          <w:marBottom w:val="0"/>
          <w:divBdr>
            <w:top w:val="none" w:sz="0" w:space="0" w:color="auto"/>
            <w:left w:val="none" w:sz="0" w:space="0" w:color="auto"/>
            <w:bottom w:val="none" w:sz="0" w:space="0" w:color="auto"/>
            <w:right w:val="none" w:sz="0" w:space="0" w:color="auto"/>
          </w:divBdr>
        </w:div>
        <w:div w:id="1903129872">
          <w:marLeft w:val="0"/>
          <w:marRight w:val="0"/>
          <w:marTop w:val="0"/>
          <w:marBottom w:val="0"/>
          <w:divBdr>
            <w:top w:val="none" w:sz="0" w:space="0" w:color="auto"/>
            <w:left w:val="none" w:sz="0" w:space="0" w:color="auto"/>
            <w:bottom w:val="none" w:sz="0" w:space="0" w:color="auto"/>
            <w:right w:val="none" w:sz="0" w:space="0" w:color="auto"/>
          </w:divBdr>
        </w:div>
        <w:div w:id="40323760">
          <w:marLeft w:val="0"/>
          <w:marRight w:val="0"/>
          <w:marTop w:val="0"/>
          <w:marBottom w:val="0"/>
          <w:divBdr>
            <w:top w:val="none" w:sz="0" w:space="0" w:color="auto"/>
            <w:left w:val="none" w:sz="0" w:space="0" w:color="auto"/>
            <w:bottom w:val="none" w:sz="0" w:space="0" w:color="auto"/>
            <w:right w:val="none" w:sz="0" w:space="0" w:color="auto"/>
          </w:divBdr>
        </w:div>
        <w:div w:id="1493137904">
          <w:marLeft w:val="0"/>
          <w:marRight w:val="0"/>
          <w:marTop w:val="0"/>
          <w:marBottom w:val="0"/>
          <w:divBdr>
            <w:top w:val="none" w:sz="0" w:space="0" w:color="auto"/>
            <w:left w:val="none" w:sz="0" w:space="0" w:color="auto"/>
            <w:bottom w:val="none" w:sz="0" w:space="0" w:color="auto"/>
            <w:right w:val="none" w:sz="0" w:space="0" w:color="auto"/>
          </w:divBdr>
        </w:div>
        <w:div w:id="362176683">
          <w:marLeft w:val="0"/>
          <w:marRight w:val="0"/>
          <w:marTop w:val="0"/>
          <w:marBottom w:val="0"/>
          <w:divBdr>
            <w:top w:val="none" w:sz="0" w:space="0" w:color="auto"/>
            <w:left w:val="none" w:sz="0" w:space="0" w:color="auto"/>
            <w:bottom w:val="none" w:sz="0" w:space="0" w:color="auto"/>
            <w:right w:val="none" w:sz="0" w:space="0" w:color="auto"/>
          </w:divBdr>
        </w:div>
        <w:div w:id="383218844">
          <w:marLeft w:val="0"/>
          <w:marRight w:val="0"/>
          <w:marTop w:val="0"/>
          <w:marBottom w:val="0"/>
          <w:divBdr>
            <w:top w:val="none" w:sz="0" w:space="0" w:color="auto"/>
            <w:left w:val="none" w:sz="0" w:space="0" w:color="auto"/>
            <w:bottom w:val="none" w:sz="0" w:space="0" w:color="auto"/>
            <w:right w:val="none" w:sz="0" w:space="0" w:color="auto"/>
          </w:divBdr>
        </w:div>
        <w:div w:id="546139451">
          <w:marLeft w:val="0"/>
          <w:marRight w:val="0"/>
          <w:marTop w:val="0"/>
          <w:marBottom w:val="0"/>
          <w:divBdr>
            <w:top w:val="none" w:sz="0" w:space="0" w:color="auto"/>
            <w:left w:val="none" w:sz="0" w:space="0" w:color="auto"/>
            <w:bottom w:val="none" w:sz="0" w:space="0" w:color="auto"/>
            <w:right w:val="none" w:sz="0" w:space="0" w:color="auto"/>
          </w:divBdr>
        </w:div>
        <w:div w:id="555969923">
          <w:marLeft w:val="0"/>
          <w:marRight w:val="0"/>
          <w:marTop w:val="0"/>
          <w:marBottom w:val="0"/>
          <w:divBdr>
            <w:top w:val="none" w:sz="0" w:space="0" w:color="auto"/>
            <w:left w:val="none" w:sz="0" w:space="0" w:color="auto"/>
            <w:bottom w:val="none" w:sz="0" w:space="0" w:color="auto"/>
            <w:right w:val="none" w:sz="0" w:space="0" w:color="auto"/>
          </w:divBdr>
        </w:div>
      </w:divsChild>
    </w:div>
    <w:div w:id="1852985632">
      <w:bodyDiv w:val="1"/>
      <w:marLeft w:val="0"/>
      <w:marRight w:val="0"/>
      <w:marTop w:val="0"/>
      <w:marBottom w:val="0"/>
      <w:divBdr>
        <w:top w:val="none" w:sz="0" w:space="0" w:color="auto"/>
        <w:left w:val="none" w:sz="0" w:space="0" w:color="auto"/>
        <w:bottom w:val="none" w:sz="0" w:space="0" w:color="auto"/>
        <w:right w:val="none" w:sz="0" w:space="0" w:color="auto"/>
      </w:divBdr>
      <w:divsChild>
        <w:div w:id="1315523494">
          <w:marLeft w:val="0"/>
          <w:marRight w:val="0"/>
          <w:marTop w:val="0"/>
          <w:marBottom w:val="0"/>
          <w:divBdr>
            <w:top w:val="none" w:sz="0" w:space="0" w:color="auto"/>
            <w:left w:val="none" w:sz="0" w:space="0" w:color="auto"/>
            <w:bottom w:val="none" w:sz="0" w:space="0" w:color="auto"/>
            <w:right w:val="none" w:sz="0" w:space="0" w:color="auto"/>
          </w:divBdr>
        </w:div>
        <w:div w:id="1323043032">
          <w:marLeft w:val="0"/>
          <w:marRight w:val="0"/>
          <w:marTop w:val="0"/>
          <w:marBottom w:val="0"/>
          <w:divBdr>
            <w:top w:val="none" w:sz="0" w:space="0" w:color="auto"/>
            <w:left w:val="none" w:sz="0" w:space="0" w:color="auto"/>
            <w:bottom w:val="none" w:sz="0" w:space="0" w:color="auto"/>
            <w:right w:val="none" w:sz="0" w:space="0" w:color="auto"/>
          </w:divBdr>
        </w:div>
        <w:div w:id="1671173174">
          <w:marLeft w:val="0"/>
          <w:marRight w:val="0"/>
          <w:marTop w:val="0"/>
          <w:marBottom w:val="0"/>
          <w:divBdr>
            <w:top w:val="none" w:sz="0" w:space="0" w:color="auto"/>
            <w:left w:val="none" w:sz="0" w:space="0" w:color="auto"/>
            <w:bottom w:val="none" w:sz="0" w:space="0" w:color="auto"/>
            <w:right w:val="none" w:sz="0" w:space="0" w:color="auto"/>
          </w:divBdr>
        </w:div>
        <w:div w:id="2038307137">
          <w:marLeft w:val="0"/>
          <w:marRight w:val="0"/>
          <w:marTop w:val="0"/>
          <w:marBottom w:val="0"/>
          <w:divBdr>
            <w:top w:val="none" w:sz="0" w:space="0" w:color="auto"/>
            <w:left w:val="none" w:sz="0" w:space="0" w:color="auto"/>
            <w:bottom w:val="none" w:sz="0" w:space="0" w:color="auto"/>
            <w:right w:val="none" w:sz="0" w:space="0" w:color="auto"/>
          </w:divBdr>
        </w:div>
        <w:div w:id="1884367314">
          <w:marLeft w:val="0"/>
          <w:marRight w:val="0"/>
          <w:marTop w:val="0"/>
          <w:marBottom w:val="0"/>
          <w:divBdr>
            <w:top w:val="none" w:sz="0" w:space="0" w:color="auto"/>
            <w:left w:val="none" w:sz="0" w:space="0" w:color="auto"/>
            <w:bottom w:val="none" w:sz="0" w:space="0" w:color="auto"/>
            <w:right w:val="none" w:sz="0" w:space="0" w:color="auto"/>
          </w:divBdr>
        </w:div>
      </w:divsChild>
    </w:div>
    <w:div w:id="2031374809">
      <w:bodyDiv w:val="1"/>
      <w:marLeft w:val="0"/>
      <w:marRight w:val="0"/>
      <w:marTop w:val="0"/>
      <w:marBottom w:val="0"/>
      <w:divBdr>
        <w:top w:val="none" w:sz="0" w:space="0" w:color="auto"/>
        <w:left w:val="none" w:sz="0" w:space="0" w:color="auto"/>
        <w:bottom w:val="none" w:sz="0" w:space="0" w:color="auto"/>
        <w:right w:val="none" w:sz="0" w:space="0" w:color="auto"/>
      </w:divBdr>
      <w:divsChild>
        <w:div w:id="713046731">
          <w:marLeft w:val="0"/>
          <w:marRight w:val="0"/>
          <w:marTop w:val="0"/>
          <w:marBottom w:val="0"/>
          <w:divBdr>
            <w:top w:val="none" w:sz="0" w:space="0" w:color="auto"/>
            <w:left w:val="none" w:sz="0" w:space="0" w:color="auto"/>
            <w:bottom w:val="none" w:sz="0" w:space="0" w:color="auto"/>
            <w:right w:val="none" w:sz="0" w:space="0" w:color="auto"/>
          </w:divBdr>
        </w:div>
        <w:div w:id="209154530">
          <w:marLeft w:val="0"/>
          <w:marRight w:val="0"/>
          <w:marTop w:val="0"/>
          <w:marBottom w:val="0"/>
          <w:divBdr>
            <w:top w:val="none" w:sz="0" w:space="0" w:color="auto"/>
            <w:left w:val="none" w:sz="0" w:space="0" w:color="auto"/>
            <w:bottom w:val="none" w:sz="0" w:space="0" w:color="auto"/>
            <w:right w:val="none" w:sz="0" w:space="0" w:color="auto"/>
          </w:divBdr>
        </w:div>
        <w:div w:id="433524810">
          <w:marLeft w:val="0"/>
          <w:marRight w:val="0"/>
          <w:marTop w:val="0"/>
          <w:marBottom w:val="0"/>
          <w:divBdr>
            <w:top w:val="none" w:sz="0" w:space="0" w:color="auto"/>
            <w:left w:val="none" w:sz="0" w:space="0" w:color="auto"/>
            <w:bottom w:val="none" w:sz="0" w:space="0" w:color="auto"/>
            <w:right w:val="none" w:sz="0" w:space="0" w:color="auto"/>
          </w:divBdr>
        </w:div>
        <w:div w:id="164307998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democracy-reporting.org/files/dri-pk_bp35_edr.pdf" TargetMode="External"/><Relationship Id="rId4" Type="http://schemas.openxmlformats.org/officeDocument/2006/relationships/hyperlink" Target="http://www.idea.int/news/newsletters/upload/concept_paper_EDR.pdf" TargetMode="External"/><Relationship Id="rId5" Type="http://schemas.openxmlformats.org/officeDocument/2006/relationships/hyperlink" Target="http://en.wikipedia.org/wiki/Dispute_resolution" TargetMode="External"/><Relationship Id="rId6" Type="http://schemas.openxmlformats.org/officeDocument/2006/relationships/hyperlink" Target="http://www.ask.com/question/what-is-dispute-resolution" TargetMode="External"/><Relationship Id="rId7" Type="http://schemas.openxmlformats.org/officeDocument/2006/relationships/hyperlink" Target="http://en.wikipedia.org/wiki/Dispute_resolution" TargetMode="External"/><Relationship Id="rId8" Type="http://schemas.openxmlformats.org/officeDocument/2006/relationships/hyperlink" Target="http://www.nials-nigeria.org/journals/C.%20A.%20Obiozor.pdf" TargetMode="External"/><Relationship Id="rId9" Type="http://schemas.openxmlformats.org/officeDocument/2006/relationships/hyperlink" Target="http://www.idea.int/publications/electoral_justice/upload/electoral_justice_chapter_8.pdf" TargetMode="External"/><Relationship Id="rId1" Type="http://schemas.openxmlformats.org/officeDocument/2006/relationships/hyperlink" Target="http://www.idea.int/news/newsletters/upload/concept_paper_EDR.pdf" TargetMode="External"/><Relationship Id="rId2" Type="http://schemas.openxmlformats.org/officeDocument/2006/relationships/hyperlink" Target="http://www.thisdaylive.com/articles/kufuor-others-proffer-solution-to-nigeria-s-electoral-disputes/738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83</Pages>
  <Words>13016</Words>
  <Characters>74194</Characters>
  <Application>Microsoft Macintosh Word</Application>
  <DocSecurity>0</DocSecurity>
  <Lines>618</Lines>
  <Paragraphs>174</Paragraphs>
  <ScaleCrop>false</ScaleCrop>
  <Company/>
  <LinksUpToDate>false</LinksUpToDate>
  <CharactersWithSpaces>87036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bayo Badmus</dc:creator>
  <cp:keywords/>
  <dc:description/>
  <cp:lastModifiedBy>muiz Banire</cp:lastModifiedBy>
  <cp:revision>28</cp:revision>
  <dcterms:created xsi:type="dcterms:W3CDTF">2014-08-30T09:14:00Z</dcterms:created>
  <dcterms:modified xsi:type="dcterms:W3CDTF">2014-08-31T10:03:00Z</dcterms:modified>
</cp:coreProperties>
</file>